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60"/>
        <w:ind w:hanging="2" w:left="0"/>
        <w:jc w:val="center"/>
        <w:rPr>
          <w:rFonts w:eastAsia="Merriweather"/>
          <w:b/>
          <w:sz w:val="30"/>
          <w:szCs w:val="30"/>
          <w:u w:val="none"/>
        </w:rPr>
      </w:pPr>
      <w:r>
        <w:rPr>
          <w:rFonts w:eastAsia="Merriweather"/>
          <w:b/>
          <w:sz w:val="30"/>
          <w:szCs w:val="30"/>
          <w:u w:val="none"/>
        </w:rPr>
        <mc:AlternateContent>
          <mc:Choice Requires="wps">
            <w:drawing>
              <wp:anchor behindDoc="0" distT="0" distB="0" distL="635" distR="0" simplePos="0" locked="0" layoutInCell="1" allowOverlap="1" relativeHeight="45">
                <wp:simplePos x="0" y="0"/>
                <wp:positionH relativeFrom="column">
                  <wp:posOffset>635</wp:posOffset>
                </wp:positionH>
                <wp:positionV relativeFrom="paragraph">
                  <wp:posOffset>635</wp:posOffset>
                </wp:positionV>
                <wp:extent cx="635000" cy="635000"/>
                <wp:effectExtent l="635" t="0" r="0" b="0"/>
                <wp:wrapNone/>
                <wp:docPr id="1" name="Forma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Forma1" path="m0,0l-2147483645,0l-2147483645,-2147483646l0,-2147483646xe" stroked="f" o:allowincell="f" style="position:absolute;margin-left:0.05pt;margin-top:0.05pt;width:49.95pt;height:49.95pt;mso-wrap-style:none;v-text-anchor:middle">
                <v:fill o:detectmouseclick="t" on="false"/>
                <v:stroke color="#3465a4" joinstyle="round" endcap="flat"/>
                <w10:wrap type="none"/>
              </v:rect>
            </w:pict>
          </mc:Fallback>
        </mc:AlternateContent>
      </w:r>
    </w:p>
    <w:p>
      <w:pPr>
        <w:pStyle w:val="Normal"/>
        <w:widowControl w:val="false"/>
        <w:spacing w:lineRule="auto" w:line="360"/>
        <w:ind w:hanging="2" w:left="0"/>
        <w:jc w:val="center"/>
        <w:rPr>
          <w:u w:val="single"/>
        </w:rPr>
      </w:pPr>
      <w:r>
        <w:rPr>
          <w:rFonts w:eastAsia="Merriweather"/>
          <w:b/>
          <w:sz w:val="36"/>
          <w:szCs w:val="36"/>
          <w:u w:val="single"/>
        </w:rPr>
        <w:t>TERMO DE REFERÊNCIA</w:t>
      </w:r>
    </w:p>
    <w:p>
      <w:pPr>
        <w:pStyle w:val="Normal"/>
        <w:widowControl w:val="false"/>
        <w:spacing w:lineRule="auto" w:line="360"/>
        <w:ind w:hanging="2" w:left="0"/>
        <w:jc w:val="center"/>
        <w:rPr>
          <w:u w:val="single"/>
        </w:rPr>
      </w:pPr>
      <w:r>
        <w:rPr>
          <w:rFonts w:eastAsia="Merriweather"/>
          <w:b w:val="false"/>
          <w:bCs w:val="false"/>
          <w:sz w:val="24"/>
          <w:szCs w:val="24"/>
          <w:u w:val="none"/>
        </w:rPr>
        <w:t xml:space="preserve">(Portaria Conjunta nº 33/2023 – Art 10, Inciso XXV) </w:t>
      </w:r>
    </w:p>
    <w:p>
      <w:pPr>
        <w:pStyle w:val="Normal"/>
        <w:widowControl w:val="false"/>
        <w:spacing w:lineRule="auto" w:line="360"/>
        <w:ind w:hanging="2" w:left="0"/>
        <w:jc w:val="center"/>
        <w:rPr>
          <w:u w:val="single"/>
        </w:rPr>
      </w:pPr>
      <w:r>
        <w:rPr>
          <w:u w:val="single"/>
        </w:rPr>
      </w:r>
    </w:p>
    <w:p>
      <w:pPr>
        <w:pStyle w:val="Normal"/>
        <w:widowControl w:val="false"/>
        <w:spacing w:lineRule="auto" w:line="360"/>
        <w:ind w:hanging="2" w:left="0"/>
        <w:jc w:val="center"/>
        <w:rPr>
          <w:rFonts w:eastAsia="Merriweather"/>
          <w:b/>
          <w:sz w:val="24"/>
          <w:szCs w:val="24"/>
          <w:u w:val="none"/>
        </w:rPr>
      </w:pPr>
      <w:r>
        <w:rPr>
          <w:rFonts w:eastAsia="Merriweather"/>
          <w:b/>
          <w:sz w:val="24"/>
          <w:szCs w:val="24"/>
          <w:u w:val="none"/>
        </w:rPr>
      </w:r>
    </w:p>
    <w:p>
      <w:pPr>
        <w:pStyle w:val="Normal"/>
        <w:widowControl w:val="false"/>
        <w:spacing w:lineRule="auto" w:line="360"/>
        <w:ind w:hanging="2" w:left="0"/>
        <w:jc w:val="both"/>
        <w:rPr>
          <w:sz w:val="22"/>
          <w:szCs w:val="22"/>
        </w:rPr>
      </w:pPr>
      <w:r>
        <w:rPr>
          <w:rFonts w:eastAsia="Merriweather"/>
          <w:b/>
          <w:sz w:val="22"/>
          <w:szCs w:val="22"/>
          <w:u w:val="none"/>
        </w:rPr>
        <w:t xml:space="preserve">1. PROPOSTA/CONVÊNIO: </w:t>
      </w:r>
      <w:r>
        <w:rPr>
          <w:rFonts w:eastAsia="Merriweather"/>
          <w:b w:val="false"/>
          <w:bCs w:val="false"/>
          <w:sz w:val="22"/>
          <w:szCs w:val="22"/>
          <w:u w:val="none"/>
        </w:rPr>
        <w:t>Transferegov.br n°956766/2024 - Proposta 7313/2024.</w:t>
      </w:r>
    </w:p>
    <w:p>
      <w:pPr>
        <w:pStyle w:val="Normal"/>
        <w:widowControl w:val="false"/>
        <w:spacing w:lineRule="auto" w:line="360"/>
        <w:ind w:hanging="2" w:left="0"/>
        <w:jc w:val="both"/>
        <w:rPr>
          <w:rFonts w:eastAsia="Merriweather"/>
          <w:b/>
          <w:u w:val="none"/>
        </w:rPr>
      </w:pPr>
      <w:r>
        <w:rPr>
          <w:rFonts w:eastAsia="Merriweather"/>
          <w:b/>
          <w:sz w:val="22"/>
          <w:szCs w:val="22"/>
          <w:u w:val="none"/>
        </w:rPr>
        <w:t xml:space="preserve">2. OBJETO: </w:t>
      </w:r>
      <w:r>
        <w:rPr>
          <w:rFonts w:eastAsia="Merriweather"/>
          <w:b w:val="false"/>
          <w:bCs w:val="false"/>
          <w:sz w:val="22"/>
          <w:szCs w:val="22"/>
          <w:u w:val="none"/>
        </w:rPr>
        <w:t xml:space="preserve">AQUISIÇÃO DE MAQUINAS E EQUIPAMENTOS </w:t>
      </w:r>
    </w:p>
    <w:p>
      <w:pPr>
        <w:pStyle w:val="Normal"/>
        <w:widowControl w:val="false"/>
        <w:spacing w:lineRule="auto" w:line="360"/>
        <w:ind w:hanging="2" w:left="0"/>
        <w:jc w:val="both"/>
        <w:rPr>
          <w:sz w:val="22"/>
          <w:szCs w:val="22"/>
        </w:rPr>
      </w:pPr>
      <w:r>
        <w:rPr>
          <w:rFonts w:eastAsia="Merriweather"/>
          <w:b/>
          <w:bCs/>
          <w:sz w:val="22"/>
          <w:szCs w:val="22"/>
          <w:u w:val="none"/>
        </w:rPr>
        <w:t>3.</w:t>
      </w:r>
      <w:r>
        <w:rPr>
          <w:rFonts w:eastAsia="Merriweather"/>
          <w:b w:val="false"/>
          <w:bCs w:val="false"/>
          <w:sz w:val="22"/>
          <w:szCs w:val="22"/>
          <w:u w:val="none"/>
        </w:rPr>
        <w:t xml:space="preserve"> </w:t>
      </w:r>
      <w:r>
        <w:rPr>
          <w:rFonts w:eastAsia="Merriweather"/>
          <w:b/>
          <w:bCs/>
          <w:sz w:val="22"/>
          <w:szCs w:val="22"/>
          <w:u w:val="none"/>
        </w:rPr>
        <w:t>DADOS DO PROPONENTE</w:t>
      </w:r>
      <w:r>
        <w:rPr>
          <w:rFonts w:eastAsia="Merriweather"/>
          <w:b w:val="false"/>
          <w:bCs w:val="false"/>
          <w:sz w:val="22"/>
          <w:szCs w:val="22"/>
          <w:u w:val="none"/>
        </w:rPr>
        <w:t>: Prefeitura Municipal de BANDEIRANTES-PR, Inscrita no CNPJ: 76.235.753/0001-48, Endereço: Endereço: Rua Frei Rafael Proner, nº1457, centro, Bandeirantes-Pr - CEP: 86.360-000.</w:t>
      </w:r>
    </w:p>
    <w:p>
      <w:pPr>
        <w:pStyle w:val="Normal"/>
        <w:widowControl w:val="false"/>
        <w:spacing w:lineRule="auto" w:line="360"/>
        <w:ind w:hanging="2" w:left="0"/>
        <w:jc w:val="both"/>
        <w:rPr>
          <w:rFonts w:eastAsia="Merriweather"/>
          <w:b w:val="false"/>
          <w:bCs w:val="false"/>
          <w:u w:val="none"/>
        </w:rPr>
      </w:pPr>
      <w:r>
        <w:rPr>
          <w:rFonts w:eastAsia="Merriweather"/>
          <w:b w:val="false"/>
          <w:bCs w:val="false"/>
          <w:u w:val="none"/>
        </w:rPr>
      </w:r>
    </w:p>
    <w:p>
      <w:pPr>
        <w:pStyle w:val="Normal"/>
        <w:widowControl w:val="false"/>
        <w:spacing w:lineRule="auto" w:line="360"/>
        <w:ind w:hanging="2" w:left="0"/>
        <w:jc w:val="both"/>
        <w:rPr>
          <w:sz w:val="22"/>
          <w:szCs w:val="22"/>
        </w:rPr>
      </w:pPr>
      <w:r>
        <w:rPr>
          <w:rFonts w:eastAsia="Merriweather"/>
          <w:b/>
          <w:bCs/>
          <w:sz w:val="22"/>
          <w:szCs w:val="22"/>
          <w:u w:val="none"/>
        </w:rPr>
        <w:t>4. DADOS DO RESPONSÁVEL</w:t>
      </w:r>
      <w:r>
        <w:rPr>
          <w:rFonts w:eastAsia="Merriweather"/>
          <w:b w:val="false"/>
          <w:bCs w:val="false"/>
          <w:sz w:val="22"/>
          <w:szCs w:val="22"/>
          <w:u w:val="none"/>
        </w:rPr>
        <w:t>:</w:t>
      </w:r>
    </w:p>
    <w:p>
      <w:pPr>
        <w:pStyle w:val="Normal"/>
        <w:widowControl w:val="false"/>
        <w:spacing w:lineRule="auto" w:line="360"/>
        <w:ind w:hanging="2" w:left="0"/>
        <w:jc w:val="both"/>
        <w:rPr>
          <w:sz w:val="22"/>
          <w:szCs w:val="22"/>
        </w:rPr>
      </w:pPr>
      <w:r>
        <w:rPr>
          <w:rFonts w:eastAsia="Merriweather"/>
          <w:b w:val="false"/>
          <w:bCs w:val="false"/>
          <w:sz w:val="22"/>
          <w:szCs w:val="22"/>
          <w:u w:val="none"/>
        </w:rPr>
        <w:t>Nome do Prefeito (a): JAELSON RAMALHO MATTA</w:t>
      </w:r>
    </w:p>
    <w:p>
      <w:pPr>
        <w:pStyle w:val="Normal"/>
        <w:widowControl w:val="false"/>
        <w:spacing w:lineRule="auto" w:line="360"/>
        <w:ind w:hanging="2" w:left="0"/>
        <w:jc w:val="both"/>
        <w:rPr>
          <w:sz w:val="22"/>
          <w:szCs w:val="22"/>
        </w:rPr>
      </w:pPr>
      <w:r>
        <w:rPr>
          <w:rFonts w:eastAsia="Merriweather"/>
          <w:b w:val="false"/>
          <w:bCs w:val="false"/>
          <w:sz w:val="22"/>
          <w:szCs w:val="22"/>
          <w:u w:val="none"/>
        </w:rPr>
        <w:t>CPF: 486.661.579-68</w:t>
      </w:r>
    </w:p>
    <w:p>
      <w:pPr>
        <w:pStyle w:val="Normal"/>
        <w:widowControl w:val="false"/>
        <w:spacing w:lineRule="auto" w:line="360"/>
        <w:ind w:hanging="2" w:left="0"/>
        <w:jc w:val="both"/>
        <w:rPr>
          <w:sz w:val="22"/>
          <w:szCs w:val="22"/>
        </w:rPr>
      </w:pPr>
      <w:r>
        <w:rPr>
          <w:rFonts w:eastAsia="Merriweather"/>
          <w:b w:val="false"/>
          <w:bCs w:val="false"/>
          <w:sz w:val="22"/>
          <w:szCs w:val="22"/>
          <w:u w:val="none"/>
        </w:rPr>
        <w:t>RG:  3.348.934-0/SESP PR</w:t>
      </w:r>
    </w:p>
    <w:p>
      <w:pPr>
        <w:pStyle w:val="Normal"/>
        <w:widowControl w:val="false"/>
        <w:spacing w:lineRule="auto" w:line="360"/>
        <w:ind w:hanging="2" w:left="0"/>
        <w:jc w:val="both"/>
        <w:rPr>
          <w:sz w:val="22"/>
          <w:szCs w:val="22"/>
        </w:rPr>
      </w:pPr>
      <w:r>
        <w:rPr>
          <w:rFonts w:eastAsia="Merriweather"/>
          <w:b w:val="false"/>
          <w:bCs w:val="false"/>
          <w:sz w:val="22"/>
          <w:szCs w:val="22"/>
          <w:u w:val="none"/>
        </w:rPr>
        <w:t>Endereço Rua Vereador José Santana nº514 – Vila Macedo, Bandeirantes-Pr- CEP 86.360-000</w:t>
      </w:r>
    </w:p>
    <w:p>
      <w:pPr>
        <w:pStyle w:val="Normal"/>
        <w:widowControl w:val="false"/>
        <w:spacing w:lineRule="auto" w:line="360"/>
        <w:ind w:hanging="2" w:left="0"/>
        <w:jc w:val="both"/>
        <w:rPr>
          <w:sz w:val="22"/>
          <w:szCs w:val="22"/>
        </w:rPr>
      </w:pPr>
      <w:r>
        <w:rPr>
          <w:rFonts w:eastAsia="Merriweather"/>
          <w:b w:val="false"/>
          <w:bCs w:val="false"/>
          <w:sz w:val="22"/>
          <w:szCs w:val="22"/>
          <w:u w:val="none"/>
        </w:rPr>
        <w:t xml:space="preserve">Telefone: (43) 3542-4525 </w:t>
      </w:r>
    </w:p>
    <w:p>
      <w:pPr>
        <w:pStyle w:val="Normal"/>
        <w:widowControl w:val="false"/>
        <w:spacing w:lineRule="auto" w:line="360"/>
        <w:ind w:hanging="2" w:left="0"/>
        <w:jc w:val="both"/>
        <w:rPr/>
      </w:pPr>
      <w:r>
        <w:rPr>
          <w:rFonts w:eastAsia="Merriweather"/>
          <w:b w:val="false"/>
          <w:bCs w:val="false"/>
          <w:sz w:val="22"/>
          <w:szCs w:val="22"/>
          <w:u w:val="none"/>
        </w:rPr>
        <w:t xml:space="preserve">Endereço eletrônico: </w:t>
      </w:r>
      <w:r>
        <w:rPr>
          <w:rStyle w:val="Hyperlink"/>
          <w:rFonts w:eastAsia="Merriweather"/>
          <w:b w:val="false"/>
          <w:bCs w:val="false"/>
          <w:sz w:val="22"/>
          <w:szCs w:val="22"/>
          <w:u w:val="none"/>
        </w:rPr>
        <w:t>gabinete@bandeirantes.pr.gov.br</w:t>
      </w:r>
    </w:p>
    <w:p>
      <w:pPr>
        <w:pStyle w:val="Normal"/>
        <w:widowControl w:val="false"/>
        <w:spacing w:lineRule="auto" w:line="360"/>
        <w:ind w:hanging="2" w:left="0"/>
        <w:jc w:val="both"/>
        <w:rPr>
          <w:rStyle w:val="Hyperlink"/>
          <w:rFonts w:eastAsia="Merriweather"/>
          <w:b w:val="false"/>
          <w:bCs w:val="false"/>
          <w:sz w:val="22"/>
          <w:szCs w:val="22"/>
          <w:u w:val="none"/>
        </w:rPr>
      </w:pPr>
      <w:r>
        <w:rPr>
          <w:rFonts w:eastAsia="Merriweather"/>
          <w:b w:val="false"/>
          <w:bCs w:val="false"/>
          <w:sz w:val="22"/>
          <w:szCs w:val="22"/>
          <w:u w:val="none"/>
        </w:rPr>
      </w:r>
    </w:p>
    <w:p>
      <w:pPr>
        <w:pStyle w:val="Normal"/>
        <w:widowControl w:val="false"/>
        <w:spacing w:lineRule="auto" w:line="360"/>
        <w:ind w:hanging="2" w:left="0"/>
        <w:jc w:val="both"/>
        <w:rPr>
          <w:rFonts w:eastAsia="Merriweather"/>
          <w:b w:val="false"/>
          <w:bCs w:val="false"/>
          <w:u w:val="none"/>
        </w:rPr>
      </w:pPr>
      <w:r>
        <w:rPr>
          <w:rFonts w:eastAsia="Merriweather"/>
          <w:b w:val="false"/>
          <w:bCs w:val="false"/>
          <w:u w:val="none"/>
        </w:rPr>
      </w:r>
    </w:p>
    <w:p>
      <w:pPr>
        <w:pStyle w:val="Normal"/>
        <w:widowControl w:val="false"/>
        <w:spacing w:lineRule="auto" w:line="360"/>
        <w:ind w:hanging="2" w:left="0"/>
        <w:jc w:val="both"/>
        <w:rPr>
          <w:sz w:val="22"/>
          <w:szCs w:val="22"/>
        </w:rPr>
      </w:pPr>
      <w:r>
        <w:rPr>
          <w:rFonts w:eastAsia="Merriweather"/>
          <w:b/>
          <w:bCs/>
          <w:sz w:val="22"/>
          <w:szCs w:val="22"/>
          <w:u w:val="none"/>
        </w:rPr>
        <w:t>5. CONTEXTUALIZAÇÃO E JUSTIFICATIVA</w:t>
      </w:r>
      <w:r>
        <w:rPr>
          <w:rFonts w:eastAsia="Merriweather"/>
          <w:b w:val="false"/>
          <w:bCs w:val="false"/>
          <w:sz w:val="22"/>
          <w:szCs w:val="22"/>
          <w:u w:val="none"/>
        </w:rPr>
        <w:t>:</w:t>
      </w:r>
    </w:p>
    <w:p>
      <w:pPr>
        <w:pStyle w:val="Normal"/>
        <w:widowControl w:val="false"/>
        <w:spacing w:lineRule="auto" w:line="360"/>
        <w:ind w:hanging="2" w:left="0"/>
        <w:jc w:val="both"/>
        <w:rPr>
          <w:sz w:val="22"/>
          <w:szCs w:val="22"/>
        </w:rPr>
      </w:pPr>
      <w:r>
        <w:rPr>
          <w:rFonts w:eastAsia="Merriweather"/>
          <w:b w:val="false"/>
          <w:bCs w:val="false"/>
          <w:sz w:val="22"/>
          <w:szCs w:val="22"/>
          <w:u w:val="none"/>
        </w:rPr>
        <w:t xml:space="preserve">O Município está localizado no norte do Paraná. Possui Área Territorial de 445,192 km², população residente de 31.273, densidade demográfica de 70,25hab/km. Tem como principais produtos e representação, a produção agrícola e Produção Agropecuária de grãos com mais de 120 milhões de reais, de cana-de-açúcar 56,1 milhões de reais, de bovinos 33,4 milhões, agricultura de hortaliças, de legumes em estufas, de frutas, principalmente a uva fina de mesa. </w:t>
      </w:r>
    </w:p>
    <w:p>
      <w:pPr>
        <w:pStyle w:val="Normal"/>
        <w:widowControl w:val="false"/>
        <w:spacing w:lineRule="auto" w:line="360"/>
        <w:ind w:hanging="2" w:left="0"/>
        <w:jc w:val="both"/>
        <w:rPr>
          <w:sz w:val="22"/>
          <w:szCs w:val="22"/>
        </w:rPr>
      </w:pPr>
      <w:r>
        <w:rPr>
          <w:rFonts w:eastAsia="Merriweather"/>
          <w:b w:val="false"/>
          <w:bCs w:val="false"/>
          <w:sz w:val="22"/>
          <w:szCs w:val="22"/>
          <w:u w:val="none"/>
        </w:rPr>
        <w:t xml:space="preserve">É composto por Pequenos e médios Agricultores e seus familiares, bem como os produtores de hortifruti e os que integram a agricultura familiar, desta forma beneficiando em média de 570 agricultores diretos e 2.160 agricultores indiretos. </w:t>
      </w:r>
    </w:p>
    <w:p>
      <w:pPr>
        <w:pStyle w:val="Normal"/>
        <w:widowControl w:val="false"/>
        <w:spacing w:lineRule="auto" w:line="360"/>
        <w:ind w:hanging="2" w:left="0"/>
        <w:jc w:val="both"/>
        <w:rPr>
          <w:sz w:val="22"/>
          <w:szCs w:val="22"/>
        </w:rPr>
      </w:pPr>
      <w:r>
        <w:rPr>
          <w:rFonts w:eastAsia="Merriweather"/>
          <w:b w:val="false"/>
          <w:bCs w:val="false"/>
          <w:sz w:val="22"/>
          <w:szCs w:val="22"/>
          <w:u w:val="none"/>
        </w:rPr>
        <w:t xml:space="preserve">Pretende-se Melhorar e Promover a elevação da produtividade, a redução de custo de produção para o agricultor, objetivando o fortalecimento operacional dos serviços prestados, bem como o andamento das ações desenvolvidas, proporcionando melhores condições de trabalho. </w:t>
      </w:r>
    </w:p>
    <w:p>
      <w:pPr>
        <w:pStyle w:val="Normal"/>
        <w:widowControl w:val="false"/>
        <w:spacing w:lineRule="auto" w:line="360"/>
        <w:ind w:hanging="2" w:left="0"/>
        <w:jc w:val="both"/>
        <w:rPr>
          <w:rFonts w:eastAsia="Merriweather"/>
          <w:b w:val="false"/>
          <w:bCs w:val="false"/>
          <w:i w:val="false"/>
          <w:i w:val="false"/>
          <w:iCs w:val="false"/>
          <w:u w:val="none"/>
        </w:rPr>
      </w:pPr>
      <w:r>
        <w:rPr>
          <w:rFonts w:eastAsia="Merriweather"/>
          <w:b w:val="false"/>
          <w:bCs w:val="false"/>
          <w:i w:val="false"/>
          <w:iCs w:val="false"/>
          <w:u w:val="none"/>
        </w:rPr>
      </w:r>
    </w:p>
    <w:p>
      <w:pPr>
        <w:pStyle w:val="Normal"/>
        <w:widowControl w:val="false"/>
        <w:spacing w:lineRule="auto" w:line="360"/>
        <w:ind w:hanging="2" w:left="0"/>
        <w:jc w:val="both"/>
        <w:rPr>
          <w:sz w:val="22"/>
          <w:szCs w:val="22"/>
        </w:rPr>
      </w:pPr>
      <w:r>
        <w:rPr>
          <w:rFonts w:eastAsia="Merriweather"/>
          <w:b/>
          <w:bCs/>
          <w:i w:val="false"/>
          <w:iCs w:val="false"/>
          <w:sz w:val="22"/>
          <w:szCs w:val="22"/>
          <w:u w:val="none"/>
        </w:rPr>
        <w:t>6. OBJETIVOS</w:t>
      </w:r>
    </w:p>
    <w:p>
      <w:pPr>
        <w:pStyle w:val="Normal"/>
        <w:widowControl w:val="false"/>
        <w:spacing w:lineRule="auto" w:line="360"/>
        <w:ind w:hanging="2" w:left="0"/>
        <w:jc w:val="both"/>
        <w:rPr>
          <w:b w:val="false"/>
          <w:bCs w:val="false"/>
          <w:sz w:val="22"/>
          <w:szCs w:val="22"/>
        </w:rPr>
      </w:pPr>
      <w:r>
        <w:rPr>
          <w:rFonts w:eastAsia="Merriweather"/>
          <w:b w:val="false"/>
          <w:bCs w:val="false"/>
          <w:i w:val="false"/>
          <w:iCs w:val="false"/>
          <w:sz w:val="22"/>
          <w:szCs w:val="22"/>
          <w:u w:val="none"/>
        </w:rPr>
        <w:t xml:space="preserve">A aquisição do trator se justifica a fim de atender pequenos e médios produtores rurais deste Município que necessitam de máquinas e implementos agrícolas, para que possam realizar as atividades em suas propriedades rurais, principalmente cultivo de alfafa, e que não dispõe de maquinários, sendo que estes indispensáveis para a realização das atividades rurais. Com a aquisição destes equipamentos (Trator), resolverá os problemas dos agricultores do campo, quanto a falta de equipamentos, fomentando suas atividades rurais, fortalecendo a execução dos serviços. Objetiva ainda a otimização destes produtores rurais para a redução dos custos de produção, aumentando desta forma a produção, com a garantia do atendimento aos calendários de plantio, tratos culturais e colheita. Através da redução no custo de produção e a geração do aumento da produção rural, obtêm-se um complemento da renda familiar dos agricultores, gerando desta forma maior renda aos mesmos, melhorando a qualidade de vida dos agricultores rurais, assegurando assim a permanência deles no campo, com maior dignidade. A Aquisição do bem trator vai fomentar o fortalecimento da execução dos serviços necessários e diários prestados por esta Municipalidade, podendo ainda cumprir com as demandas, bem como aumentar os serviços prestados à população rural, levando experiências, conscientização e mais conhecimentos para a adoção das praticas de sustentabilidades. </w:t>
      </w:r>
    </w:p>
    <w:p>
      <w:pPr>
        <w:pStyle w:val="Normal"/>
        <w:widowControl w:val="false"/>
        <w:spacing w:lineRule="auto" w:line="360"/>
        <w:ind w:hanging="2" w:left="0"/>
        <w:jc w:val="both"/>
        <w:rPr>
          <w:sz w:val="22"/>
          <w:szCs w:val="22"/>
        </w:rPr>
      </w:pPr>
      <w:r>
        <w:rPr>
          <w:sz w:val="22"/>
          <w:szCs w:val="22"/>
        </w:rPr>
      </w:r>
    </w:p>
    <w:p>
      <w:pPr>
        <w:pStyle w:val="Normal"/>
        <w:widowControl w:val="false"/>
        <w:spacing w:lineRule="auto" w:line="360"/>
        <w:ind w:hanging="2" w:left="0"/>
        <w:jc w:val="both"/>
        <w:rPr>
          <w:b w:val="false"/>
          <w:bCs w:val="false"/>
          <w:sz w:val="22"/>
          <w:szCs w:val="22"/>
        </w:rPr>
      </w:pPr>
      <w:r>
        <w:rPr>
          <w:rFonts w:eastAsia="Merriweather"/>
          <w:b/>
          <w:bCs/>
          <w:i w:val="false"/>
          <w:iCs w:val="false"/>
          <w:sz w:val="22"/>
          <w:szCs w:val="22"/>
          <w:u w:val="none"/>
        </w:rPr>
        <w:t>7. AQUISIÇÃO DE BENS/CONTRATAÇÃO DE SERVIÇOS OBJETO:</w:t>
      </w:r>
    </w:p>
    <w:p>
      <w:pPr>
        <w:pStyle w:val="Normal"/>
        <w:widowControl w:val="false"/>
        <w:spacing w:lineRule="auto" w:line="360"/>
        <w:ind w:hanging="2" w:left="0"/>
        <w:jc w:val="both"/>
        <w:rPr>
          <w:b w:val="false"/>
          <w:bCs w:val="false"/>
          <w:sz w:val="22"/>
          <w:szCs w:val="22"/>
        </w:rPr>
      </w:pPr>
      <w:r>
        <w:rPr>
          <w:rFonts w:eastAsia="Merriweather"/>
          <w:b w:val="false"/>
          <w:bCs w:val="false"/>
          <w:i w:val="false"/>
          <w:iCs w:val="false"/>
          <w:sz w:val="22"/>
          <w:szCs w:val="22"/>
          <w:u w:val="none"/>
        </w:rPr>
        <w:t>AQUISIÇÃO DE 01 TRATOR NOVO, com potência mínima de 70cv, Diesel, tração 4x4, contrapesos dianteiros, pneus dianteiros de no mínimo 12.4x24' e traseiros de no mínimo 18.4x30, direção hidrostática, sistema hidráulico de 3 pontos capacidade de levante mínima de 2.100kg, transmissão com no mínimo 8 marchas a frente e 3 marchas a ré, câmbio sincronizado, capacidade mínima do tanque de combustível de 75 litros, freio discos banhados a óleo com acionamento mecânico independente ou em conjunto com o pedal combinado ao freio de estacionamento.</w:t>
      </w:r>
    </w:p>
    <w:p>
      <w:pPr>
        <w:pStyle w:val="Normal"/>
        <w:widowControl w:val="false"/>
        <w:spacing w:lineRule="auto" w:line="360"/>
        <w:ind w:hanging="2" w:left="0"/>
        <w:jc w:val="both"/>
        <w:rPr>
          <w:b w:val="false"/>
          <w:bCs w:val="false"/>
          <w:sz w:val="22"/>
          <w:szCs w:val="22"/>
        </w:rPr>
      </w:pPr>
      <w:r>
        <w:rPr>
          <w:rFonts w:eastAsia="Merriweather"/>
          <w:b w:val="false"/>
          <w:bCs w:val="false"/>
          <w:i w:val="false"/>
          <w:iCs w:val="false"/>
          <w:sz w:val="22"/>
          <w:szCs w:val="22"/>
          <w:u w:val="none"/>
        </w:rPr>
        <w:t>O fomento no setor agropecuário para suprir a falta de maquinários e ainda a melhoria nos serviços, dando suporte para toda a cadeia produtiva agrícola, pecuária e florestal, buscando o desenvolvimento sustentável e desta maneira estimular o desenvolvimento rural, com a redução das desigualdades socioeconômicas.</w:t>
      </w:r>
    </w:p>
    <w:p>
      <w:pPr>
        <w:pStyle w:val="Normal"/>
        <w:spacing w:lineRule="auto" w:line="360"/>
        <w:ind w:hanging="2" w:left="0"/>
        <w:jc w:val="both"/>
        <w:rPr>
          <w:sz w:val="22"/>
          <w:szCs w:val="22"/>
        </w:rPr>
      </w:pPr>
      <w:r>
        <w:rPr>
          <w:rFonts w:eastAsia="Merriweather"/>
          <w:sz w:val="22"/>
          <w:szCs w:val="22"/>
        </w:rPr>
        <w:t>O objeto desta contratação não se enquadra como sendo de bem de luxo, conforme artigo 384 e seguintes do Decreto nº 3.537, de 09 de maio de 2023.</w:t>
      </w:r>
    </w:p>
    <w:p>
      <w:pPr>
        <w:pStyle w:val="Normal"/>
        <w:spacing w:lineRule="auto" w:line="360"/>
        <w:ind w:hanging="2" w:left="0"/>
        <w:jc w:val="both"/>
        <w:rPr>
          <w:sz w:val="22"/>
          <w:szCs w:val="22"/>
        </w:rPr>
      </w:pPr>
      <w:r>
        <w:rPr>
          <w:rFonts w:eastAsia="Merriweather"/>
          <w:sz w:val="22"/>
          <w:szCs w:val="22"/>
        </w:rPr>
        <w:t>O bem objeto desta contratação é caracterizado como comum, ou seja, cujos padrões de desempenho e qualidade são objetivamente definidos em Edital, por meio de especificações reconhecidas e usuais do mercado.</w:t>
      </w:r>
    </w:p>
    <w:p>
      <w:pPr>
        <w:pStyle w:val="Normal"/>
        <w:spacing w:lineRule="auto" w:line="360"/>
        <w:ind w:hanging="2" w:left="0"/>
        <w:jc w:val="both"/>
        <w:rPr>
          <w:sz w:val="22"/>
          <w:szCs w:val="22"/>
        </w:rPr>
      </w:pPr>
      <w:r>
        <w:rPr>
          <w:rFonts w:eastAsia="Merriweather"/>
          <w:sz w:val="22"/>
          <w:szCs w:val="22"/>
        </w:rPr>
        <w:t>O prazo de vigência da contratação é 180 (cento e oitenta) dias, contados a partir da assinatura do contrato, na forma do artigo 404 do</w:t>
      </w:r>
      <w:r>
        <w:rPr>
          <w:rFonts w:eastAsia="Merriweather"/>
          <w:color w:val="FF0000"/>
          <w:sz w:val="22"/>
          <w:szCs w:val="22"/>
        </w:rPr>
        <w:t xml:space="preserve"> </w:t>
      </w:r>
      <w:permStart w:id="2086145988" w:edGrp="everyone_Copia_1"/>
      <w:r>
        <w:rPr>
          <w:rFonts w:eastAsia="Merriweather"/>
          <w:sz w:val="22"/>
          <w:szCs w:val="22"/>
        </w:rPr>
        <w:t>Decreto nº 3.537, de 09 de maio de 2023.</w:t>
      </w:r>
      <w:permEnd w:id="2086145988"/>
    </w:p>
    <w:p>
      <w:pPr>
        <w:pStyle w:val="Normal"/>
        <w:spacing w:lineRule="auto" w:line="360"/>
        <w:ind w:hanging="2" w:left="0"/>
        <w:jc w:val="both"/>
        <w:rPr>
          <w:b w:val="false"/>
          <w:bCs w:val="false"/>
          <w:sz w:val="22"/>
          <w:szCs w:val="22"/>
        </w:rPr>
      </w:pPr>
      <w:r>
        <w:rPr>
          <w:rFonts w:eastAsia="Merriweather"/>
          <w:b w:val="false"/>
          <w:bCs w:val="false"/>
          <w:i w:val="false"/>
          <w:iCs w:val="false"/>
          <w:sz w:val="22"/>
          <w:szCs w:val="22"/>
          <w:u w:val="none"/>
        </w:rPr>
        <w:t>O contrato oferece maior detalhamento das regras que serão aplicadas em relação à vigência da contratação.</w:t>
      </w:r>
    </w:p>
    <w:p>
      <w:pPr>
        <w:pStyle w:val="Normal"/>
        <w:spacing w:lineRule="auto" w:line="360"/>
        <w:ind w:hanging="2" w:left="0"/>
        <w:jc w:val="both"/>
        <w:rPr>
          <w:sz w:val="22"/>
          <w:szCs w:val="22"/>
        </w:rPr>
      </w:pPr>
      <w:r>
        <w:rPr>
          <w:rFonts w:eastAsia="Merriweather"/>
          <w:sz w:val="22"/>
          <w:szCs w:val="22"/>
        </w:rPr>
        <w:tab/>
        <w:t>A Fundamentação da Contratação e de seus quantitativos encontra-se pormenorizada em Tópico específico dos Estudos Técnicos Preliminares, apêndice deste Termo de Referência.</w:t>
      </w:r>
    </w:p>
    <w:p>
      <w:pPr>
        <w:pStyle w:val="Normal"/>
        <w:spacing w:lineRule="auto" w:line="360"/>
        <w:ind w:hanging="2" w:left="0"/>
        <w:jc w:val="both"/>
        <w:rPr/>
      </w:pPr>
      <w:r>
        <w:rPr>
          <w:rFonts w:eastAsia="Merriweather"/>
          <w:sz w:val="22"/>
          <w:szCs w:val="22"/>
        </w:rPr>
        <w:t>O objeto da contratação está previsto no Plano de Contratações Anual 2024, conforme terceira Alteração Plano de Contratações Anual 2025,publicado no Diário Oficial do Município, Edição nº 1003, Ano 2025, Item</w:t>
      </w:r>
      <w:r>
        <w:rPr>
          <w:rFonts w:eastAsia="Merriweather"/>
          <w:sz w:val="22"/>
          <w:szCs w:val="22"/>
          <w:shd w:fill="auto" w:val="clear"/>
        </w:rPr>
        <w:t xml:space="preserve"> SAP0078,</w:t>
      </w:r>
      <w:r>
        <w:rPr>
          <w:rFonts w:eastAsia="Merriweather"/>
          <w:sz w:val="22"/>
          <w:szCs w:val="22"/>
        </w:rPr>
        <w:t xml:space="preserve"> na data de 06 de março de 2025, podendo ser acessado no endereço eletrônico:  </w:t>
      </w:r>
      <w:hyperlink r:id="rId2">
        <w:r>
          <w:rPr>
            <w:rStyle w:val="Hyperlink"/>
            <w:rFonts w:eastAsia="Merriweather"/>
            <w:sz w:val="22"/>
            <w:szCs w:val="22"/>
          </w:rPr>
          <w:t>www.bandeirantes.pr.gov.br/diario-oficial-eletronico</w:t>
        </w:r>
      </w:hyperlink>
      <w:r>
        <w:rPr>
          <w:rFonts w:eastAsia="Merriweather"/>
          <w:sz w:val="22"/>
          <w:szCs w:val="22"/>
        </w:rPr>
        <w:t xml:space="preserve">. </w:t>
      </w:r>
    </w:p>
    <w:p>
      <w:pPr>
        <w:pStyle w:val="Normal"/>
        <w:spacing w:lineRule="auto" w:line="360"/>
        <w:ind w:hanging="2" w:left="0"/>
        <w:jc w:val="both"/>
        <w:rPr>
          <w:sz w:val="22"/>
          <w:szCs w:val="22"/>
        </w:rPr>
      </w:pPr>
      <w:r>
        <w:rPr>
          <w:sz w:val="22"/>
          <w:szCs w:val="22"/>
        </w:rPr>
      </w:r>
    </w:p>
    <w:p>
      <w:pPr>
        <w:pStyle w:val="Normal"/>
        <w:spacing w:lineRule="auto" w:line="360"/>
        <w:ind w:hanging="2" w:left="0"/>
        <w:jc w:val="both"/>
        <w:rPr>
          <w:sz w:val="22"/>
          <w:szCs w:val="22"/>
        </w:rPr>
      </w:pPr>
      <w:r>
        <w:rPr>
          <w:rFonts w:eastAsia="Merriweather"/>
          <w:b/>
          <w:bCs/>
          <w:i w:val="false"/>
          <w:iCs w:val="false"/>
          <w:sz w:val="22"/>
          <w:szCs w:val="22"/>
          <w:u w:val="none"/>
        </w:rPr>
        <w:t>8. COTAÇÕES DE PREÇOS</w:t>
      </w:r>
    </w:p>
    <w:p>
      <w:pPr>
        <w:pStyle w:val="Normal"/>
        <w:widowControl w:val="false"/>
        <w:spacing w:lineRule="auto" w:line="360"/>
        <w:ind w:hanging="2" w:left="0"/>
        <w:jc w:val="both"/>
        <w:rPr>
          <w:b/>
          <w:bCs/>
          <w:sz w:val="22"/>
          <w:szCs w:val="22"/>
          <w:highlight w:val="none"/>
          <w:shd w:fill="auto" w:val="clear"/>
        </w:rPr>
      </w:pPr>
      <w:r>
        <w:rPr>
          <w:b/>
          <w:bCs/>
          <w:sz w:val="22"/>
          <w:szCs w:val="22"/>
          <w:shd w:fill="auto" w:val="clear"/>
        </w:rPr>
      </w:r>
    </w:p>
    <w:p>
      <w:pPr>
        <w:pStyle w:val="Normal"/>
        <w:widowControl w:val="false"/>
        <w:spacing w:lineRule="auto" w:line="360"/>
        <w:ind w:hanging="2" w:left="0"/>
        <w:jc w:val="both"/>
        <w:rPr>
          <w:b/>
          <w:bCs/>
          <w:sz w:val="22"/>
          <w:szCs w:val="22"/>
          <w:highlight w:val="none"/>
          <w:shd w:fill="auto" w:val="clear"/>
        </w:rPr>
      </w:pPr>
      <w:r>
        <w:rPr>
          <w:rFonts w:eastAsia="Merriweather"/>
          <w:b/>
          <w:bCs/>
          <w:i w:val="false"/>
          <w:iCs w:val="false"/>
          <w:sz w:val="22"/>
          <w:szCs w:val="22"/>
          <w:u w:val="none"/>
          <w:shd w:fill="auto" w:val="clear"/>
        </w:rPr>
        <w:t xml:space="preserve">DADOS DAS EMPRESAS PARTICIPANTES: </w:t>
      </w:r>
    </w:p>
    <w:p>
      <w:pPr>
        <w:pStyle w:val="Normal"/>
        <w:widowControl w:val="false"/>
        <w:spacing w:lineRule="auto" w:line="240"/>
        <w:ind w:hanging="2" w:left="0"/>
        <w:jc w:val="both"/>
        <w:rPr/>
      </w:pPr>
      <w:r>
        <w:rPr>
          <w:rFonts w:eastAsia="Merriweather"/>
          <w:b/>
          <w:bCs/>
          <w:i w:val="false"/>
          <w:iCs w:val="false"/>
          <w:sz w:val="22"/>
          <w:szCs w:val="22"/>
          <w:u w:val="none"/>
          <w:shd w:fill="auto" w:val="clear"/>
        </w:rPr>
        <w:t>EMPRESA 1</w:t>
      </w:r>
      <w:r>
        <w:rPr>
          <w:rFonts w:eastAsia="Merriweather"/>
          <w:b w:val="false"/>
          <w:bCs w:val="false"/>
          <w:i w:val="false"/>
          <w:iCs w:val="false"/>
          <w:sz w:val="22"/>
          <w:szCs w:val="22"/>
          <w:u w:val="none"/>
          <w:shd w:fill="auto" w:val="clear"/>
        </w:rPr>
        <w:t>: Yanmaq Maquinas e Soluções Agrícolas</w:t>
      </w:r>
      <w:r>
        <w:rPr>
          <w:sz w:val="22"/>
          <w:szCs w:val="22"/>
          <w:shd w:fill="auto" w:val="clear"/>
        </w:rPr>
        <w:t xml:space="preserve">, Av. Brasilia, 4311 – Jd Paulista – LONDRINA/PR -CNPJ: 47.862.993/0002-55 – fone </w:t>
      </w:r>
      <w:r>
        <w:rPr>
          <w:b w:val="false"/>
          <w:bCs w:val="false"/>
          <w:sz w:val="22"/>
          <w:szCs w:val="22"/>
          <w:shd w:fill="auto" w:val="clear"/>
        </w:rPr>
        <w:t xml:space="preserve">(45) 99142-0187 – </w:t>
      </w:r>
      <w:hyperlink r:id="rId3">
        <w:r>
          <w:rPr>
            <w:rStyle w:val="Hyperlink"/>
            <w:b w:val="false"/>
            <w:bCs w:val="false"/>
            <w:sz w:val="22"/>
            <w:szCs w:val="22"/>
            <w:shd w:fill="auto" w:val="clear"/>
          </w:rPr>
          <w:t>www.yanmaq.com.br</w:t>
        </w:r>
      </w:hyperlink>
    </w:p>
    <w:p>
      <w:pPr>
        <w:pStyle w:val="Normal"/>
        <w:widowControl w:val="false"/>
        <w:spacing w:lineRule="auto" w:line="240"/>
        <w:ind w:hanging="2" w:left="0"/>
        <w:jc w:val="both"/>
        <w:rPr/>
      </w:pPr>
      <w:r>
        <w:rPr/>
      </w:r>
    </w:p>
    <w:p>
      <w:pPr>
        <w:pStyle w:val="Normal"/>
        <w:spacing w:lineRule="auto" w:line="240"/>
        <w:rPr/>
      </w:pPr>
      <w:r>
        <w:rPr>
          <w:b/>
          <w:bCs/>
          <w:sz w:val="22"/>
          <w:szCs w:val="22"/>
        </w:rPr>
        <w:t>EMPRESA 2</w:t>
      </w:r>
      <w:r>
        <w:rPr>
          <w:sz w:val="22"/>
          <w:szCs w:val="22"/>
        </w:rPr>
        <w:t xml:space="preserve">: Agricase Equipamentos Agricolas Ltda – Rodovia Melo Peixoto, BR 369, KM 8, nº1.401, CORNELIO PROCOPIO-PR – CNPJ 05.444.853/0009-93  – fone-43-3133-8199 – </w:t>
      </w:r>
      <w:hyperlink r:id="rId4">
        <w:r>
          <w:rPr>
            <w:rStyle w:val="Hyperlink"/>
            <w:sz w:val="22"/>
            <w:szCs w:val="22"/>
          </w:rPr>
          <w:t>www.agricase.com.br</w:t>
        </w:r>
      </w:hyperlink>
    </w:p>
    <w:p>
      <w:pPr>
        <w:pStyle w:val="Normal"/>
        <w:spacing w:lineRule="auto" w:line="240"/>
        <w:rPr>
          <w:rFonts w:ascii="Arial" w:hAnsi="Arial"/>
          <w:sz w:val="14"/>
        </w:rPr>
      </w:pPr>
      <w:r>
        <w:rPr>
          <w:rFonts w:ascii="Arial" w:hAnsi="Arial"/>
          <w:sz w:val="14"/>
        </w:rPr>
      </w:r>
    </w:p>
    <w:p>
      <w:pPr>
        <w:pStyle w:val="Normal"/>
        <w:spacing w:lineRule="auto" w:line="240"/>
        <w:rPr/>
      </w:pPr>
      <w:r>
        <w:rPr>
          <w:rFonts w:eastAsia="Merriweather"/>
          <w:b/>
          <w:bCs/>
          <w:i w:val="false"/>
          <w:iCs w:val="false"/>
          <w:sz w:val="22"/>
          <w:szCs w:val="22"/>
          <w:u w:val="none"/>
          <w:shd w:fill="auto" w:val="clear"/>
        </w:rPr>
        <w:t>EMPRESA 3</w:t>
      </w:r>
      <w:r>
        <w:rPr>
          <w:rFonts w:eastAsia="Merriweather"/>
          <w:b w:val="false"/>
          <w:bCs w:val="false"/>
          <w:i w:val="false"/>
          <w:iCs w:val="false"/>
          <w:sz w:val="22"/>
          <w:szCs w:val="22"/>
          <w:u w:val="none"/>
          <w:shd w:fill="auto" w:val="clear"/>
        </w:rPr>
        <w:t xml:space="preserve">: Disma Distribuidora de Máquinas, Tratores e Implementos Agrícolas LTDA - </w:t>
      </w:r>
      <w:r>
        <w:rPr>
          <w:color w:val="000000"/>
          <w:sz w:val="22"/>
          <w:szCs w:val="22"/>
          <w:shd w:fill="auto" w:val="clear"/>
        </w:rPr>
        <w:t xml:space="preserve"> Av. Nossa Sra. de Fátima, 763 - Conj. Rosário Pitelli, Cornélio Procópio - PR, 86300-000. Telefone:</w:t>
      </w:r>
      <w:hyperlink r:id="rId5">
        <w:r>
          <w:rPr>
            <w:rStyle w:val="Hyperlink"/>
            <w:color w:val="000000"/>
            <w:sz w:val="22"/>
            <w:szCs w:val="22"/>
            <w:u w:val="none"/>
            <w:shd w:fill="auto" w:val="clear"/>
          </w:rPr>
          <w:t>(43) 3133-3075</w:t>
        </w:r>
      </w:hyperlink>
      <w:r>
        <w:rPr>
          <w:color w:val="000000"/>
          <w:sz w:val="22"/>
          <w:szCs w:val="22"/>
          <w:u w:val="none"/>
          <w:shd w:fill="auto" w:val="clear"/>
        </w:rPr>
        <w:t xml:space="preserve"> –</w:t>
      </w:r>
      <w:r>
        <w:rPr>
          <w:color w:val="000000"/>
          <w:sz w:val="22"/>
          <w:szCs w:val="22"/>
          <w:u w:val="none"/>
        </w:rPr>
        <w:t xml:space="preserve"> </w:t>
      </w:r>
      <w:hyperlink r:id="rId6">
        <w:r>
          <w:rPr>
            <w:rStyle w:val="Hyperlink"/>
            <w:color w:val="000000"/>
            <w:sz w:val="22"/>
            <w:szCs w:val="22"/>
            <w:u w:val="none"/>
          </w:rPr>
          <w:t>www.dismatratores.com.br</w:t>
        </w:r>
      </w:hyperlink>
      <w:r>
        <w:rPr>
          <w:color w:val="000000"/>
          <w:sz w:val="22"/>
          <w:szCs w:val="22"/>
          <w:u w:val="none"/>
        </w:rPr>
        <w:t xml:space="preserve"> - </w:t>
      </w:r>
      <w:hyperlink r:id="rId7">
        <w:r>
          <w:rPr>
            <w:rStyle w:val="Hyperlink"/>
            <w:b w:val="false"/>
            <w:bCs w:val="false"/>
            <w:color w:val="000000"/>
            <w:sz w:val="22"/>
            <w:szCs w:val="22"/>
            <w:u w:val="none"/>
            <w:shd w:fill="auto" w:val="clear"/>
          </w:rPr>
          <w:t>cprocopio@dismatratores.com.br</w:t>
        </w:r>
      </w:hyperlink>
      <w:r>
        <w:rPr>
          <w:b w:val="false"/>
          <w:bCs w:val="false"/>
          <w:color w:val="000000"/>
          <w:sz w:val="22"/>
          <w:szCs w:val="22"/>
          <w:u w:val="none"/>
          <w:shd w:fill="auto" w:val="clear"/>
        </w:rPr>
        <w:t xml:space="preserve"> </w:t>
      </w:r>
    </w:p>
    <w:p>
      <w:pPr>
        <w:pStyle w:val="Normal"/>
        <w:widowControl w:val="false"/>
        <w:spacing w:lineRule="auto" w:line="360"/>
        <w:ind w:hanging="2" w:left="0"/>
        <w:jc w:val="both"/>
        <w:rPr>
          <w:rFonts w:eastAsia="Merriweather"/>
          <w:b w:val="false"/>
          <w:bCs w:val="false"/>
          <w:i w:val="false"/>
          <w:i w:val="false"/>
          <w:iCs w:val="false"/>
          <w:u w:val="none"/>
        </w:rPr>
      </w:pPr>
      <w:r>
        <w:rPr>
          <w:rFonts w:eastAsia="Merriweather"/>
          <w:b w:val="false"/>
          <w:bCs w:val="false"/>
          <w:i w:val="false"/>
          <w:iCs w:val="false"/>
          <w:u w:val="none"/>
        </w:rPr>
      </w:r>
    </w:p>
    <w:tbl>
      <w:tblPr>
        <w:tblW w:w="9532" w:type="dxa"/>
        <w:jc w:val="right"/>
        <w:tblInd w:w="0" w:type="dxa"/>
        <w:tblLayout w:type="fixed"/>
        <w:tblCellMar>
          <w:top w:w="55" w:type="dxa"/>
          <w:left w:w="55" w:type="dxa"/>
          <w:bottom w:w="55" w:type="dxa"/>
          <w:right w:w="55" w:type="dxa"/>
        </w:tblCellMar>
      </w:tblPr>
      <w:tblGrid>
        <w:gridCol w:w="855"/>
        <w:gridCol w:w="2172"/>
        <w:gridCol w:w="1622"/>
        <w:gridCol w:w="1624"/>
        <w:gridCol w:w="1622"/>
        <w:gridCol w:w="1636"/>
      </w:tblGrid>
      <w:tr>
        <w:trPr/>
        <w:tc>
          <w:tcPr>
            <w:tcW w:w="855" w:type="dxa"/>
            <w:tcBorders>
              <w:top w:val="single" w:sz="4" w:space="0" w:color="000000"/>
              <w:left w:val="single" w:sz="4" w:space="0" w:color="000000"/>
              <w:bottom w:val="single" w:sz="4" w:space="0" w:color="000000"/>
            </w:tcBorders>
          </w:tcPr>
          <w:p>
            <w:pPr>
              <w:pStyle w:val="Contedodatabela"/>
              <w:rPr>
                <w:b/>
                <w:bCs/>
                <w:sz w:val="22"/>
                <w:szCs w:val="22"/>
              </w:rPr>
            </w:pPr>
            <w:r>
              <w:rPr>
                <w:b/>
                <w:bCs/>
                <w:sz w:val="22"/>
                <w:szCs w:val="22"/>
              </w:rPr>
              <w:t>QTDA</w:t>
            </w:r>
          </w:p>
        </w:tc>
        <w:tc>
          <w:tcPr>
            <w:tcW w:w="2172" w:type="dxa"/>
            <w:tcBorders>
              <w:top w:val="single" w:sz="4" w:space="0" w:color="000000"/>
              <w:left w:val="single" w:sz="4" w:space="0" w:color="000000"/>
              <w:bottom w:val="single" w:sz="4" w:space="0" w:color="000000"/>
            </w:tcBorders>
          </w:tcPr>
          <w:p>
            <w:pPr>
              <w:pStyle w:val="Contedodatabela"/>
              <w:rPr>
                <w:b/>
                <w:bCs/>
                <w:sz w:val="22"/>
                <w:szCs w:val="22"/>
              </w:rPr>
            </w:pPr>
            <w:r>
              <w:rPr>
                <w:b/>
                <w:bCs/>
                <w:sz w:val="22"/>
                <w:szCs w:val="22"/>
              </w:rPr>
              <w:t>DETALHAMENTO DO ITEM (S</w:t>
            </w:r>
          </w:p>
        </w:tc>
        <w:tc>
          <w:tcPr>
            <w:tcW w:w="1622" w:type="dxa"/>
            <w:tcBorders>
              <w:top w:val="single" w:sz="4" w:space="0" w:color="000000"/>
              <w:left w:val="single" w:sz="4" w:space="0" w:color="000000"/>
              <w:bottom w:val="single" w:sz="4" w:space="0" w:color="000000"/>
            </w:tcBorders>
          </w:tcPr>
          <w:p>
            <w:pPr>
              <w:pStyle w:val="Contedodatabela"/>
              <w:rPr>
                <w:b/>
                <w:bCs/>
                <w:sz w:val="22"/>
                <w:szCs w:val="22"/>
              </w:rPr>
            </w:pPr>
            <w:r>
              <w:rPr>
                <w:b/>
                <w:bCs/>
                <w:sz w:val="22"/>
                <w:szCs w:val="22"/>
              </w:rPr>
              <w:t>EMPRESA  1</w:t>
            </w:r>
          </w:p>
        </w:tc>
        <w:tc>
          <w:tcPr>
            <w:tcW w:w="1624" w:type="dxa"/>
            <w:tcBorders>
              <w:top w:val="single" w:sz="4" w:space="0" w:color="000000"/>
              <w:left w:val="single" w:sz="4" w:space="0" w:color="000000"/>
              <w:bottom w:val="single" w:sz="4" w:space="0" w:color="000000"/>
            </w:tcBorders>
          </w:tcPr>
          <w:p>
            <w:pPr>
              <w:pStyle w:val="Contedodatabela"/>
              <w:rPr>
                <w:b/>
                <w:bCs/>
                <w:sz w:val="22"/>
                <w:szCs w:val="22"/>
              </w:rPr>
            </w:pPr>
            <w:r>
              <w:rPr>
                <w:b/>
                <w:bCs/>
                <w:sz w:val="22"/>
                <w:szCs w:val="22"/>
              </w:rPr>
              <w:t>EMPRESA 2</w:t>
            </w:r>
          </w:p>
        </w:tc>
        <w:tc>
          <w:tcPr>
            <w:tcW w:w="1622" w:type="dxa"/>
            <w:tcBorders>
              <w:top w:val="single" w:sz="4" w:space="0" w:color="000000"/>
              <w:left w:val="single" w:sz="4" w:space="0" w:color="000000"/>
              <w:bottom w:val="single" w:sz="4" w:space="0" w:color="000000"/>
            </w:tcBorders>
          </w:tcPr>
          <w:p>
            <w:pPr>
              <w:pStyle w:val="Contedodatabela"/>
              <w:rPr>
                <w:b/>
                <w:bCs/>
                <w:sz w:val="22"/>
                <w:szCs w:val="22"/>
              </w:rPr>
            </w:pPr>
            <w:r>
              <w:rPr>
                <w:b/>
                <w:bCs/>
                <w:sz w:val="22"/>
                <w:szCs w:val="22"/>
              </w:rPr>
              <w:t>EMPRESA 3</w:t>
            </w:r>
          </w:p>
        </w:tc>
        <w:tc>
          <w:tcPr>
            <w:tcW w:w="1636" w:type="dxa"/>
            <w:tcBorders>
              <w:top w:val="single" w:sz="4" w:space="0" w:color="000000"/>
              <w:left w:val="single" w:sz="4" w:space="0" w:color="000000"/>
              <w:bottom w:val="single" w:sz="4" w:space="0" w:color="000000"/>
              <w:right w:val="single" w:sz="4" w:space="0" w:color="000000"/>
            </w:tcBorders>
          </w:tcPr>
          <w:p>
            <w:pPr>
              <w:pStyle w:val="Contedodatabela"/>
              <w:rPr>
                <w:b/>
                <w:bCs/>
                <w:sz w:val="22"/>
                <w:szCs w:val="22"/>
              </w:rPr>
            </w:pPr>
            <w:r>
              <w:rPr>
                <w:b/>
                <w:bCs/>
                <w:sz w:val="22"/>
                <w:szCs w:val="22"/>
              </w:rPr>
              <w:t>PREÇO MÉDIO</w:t>
            </w:r>
          </w:p>
        </w:tc>
      </w:tr>
      <w:tr>
        <w:trPr/>
        <w:tc>
          <w:tcPr>
            <w:tcW w:w="855" w:type="dxa"/>
            <w:tcBorders>
              <w:left w:val="single" w:sz="4" w:space="0" w:color="000000"/>
              <w:bottom w:val="single" w:sz="4" w:space="0" w:color="000000"/>
            </w:tcBorders>
          </w:tcPr>
          <w:p>
            <w:pPr>
              <w:pStyle w:val="Contedodatabela"/>
              <w:jc w:val="center"/>
              <w:rPr>
                <w:b/>
                <w:bCs/>
              </w:rPr>
            </w:pPr>
            <w:r>
              <w:rPr>
                <w:b/>
                <w:bCs/>
                <w:sz w:val="22"/>
                <w:szCs w:val="22"/>
              </w:rPr>
              <w:t>01</w:t>
            </w:r>
          </w:p>
        </w:tc>
        <w:tc>
          <w:tcPr>
            <w:tcW w:w="2172" w:type="dxa"/>
            <w:tcBorders>
              <w:left w:val="single" w:sz="4" w:space="0" w:color="000000"/>
              <w:bottom w:val="single" w:sz="4" w:space="0" w:color="000000"/>
            </w:tcBorders>
          </w:tcPr>
          <w:p>
            <w:pPr>
              <w:pStyle w:val="Contedodatabela"/>
              <w:jc w:val="center"/>
              <w:rPr>
                <w:b/>
                <w:bCs/>
              </w:rPr>
            </w:pPr>
            <w:r>
              <w:rPr>
                <w:b/>
                <w:bCs/>
                <w:sz w:val="22"/>
                <w:szCs w:val="22"/>
              </w:rPr>
              <w:t>TRATOR NOVO</w:t>
            </w:r>
          </w:p>
        </w:tc>
        <w:tc>
          <w:tcPr>
            <w:tcW w:w="1622" w:type="dxa"/>
            <w:tcBorders>
              <w:left w:val="single" w:sz="4" w:space="0" w:color="000000"/>
              <w:bottom w:val="single" w:sz="4" w:space="0" w:color="000000"/>
            </w:tcBorders>
          </w:tcPr>
          <w:p>
            <w:pPr>
              <w:pStyle w:val="Contedodatabela"/>
              <w:jc w:val="center"/>
              <w:rPr>
                <w:b/>
                <w:bCs/>
              </w:rPr>
            </w:pPr>
            <w:r>
              <w:rPr>
                <w:b/>
                <w:bCs/>
                <w:sz w:val="22"/>
                <w:szCs w:val="22"/>
              </w:rPr>
              <w:t>165.000,00</w:t>
            </w:r>
          </w:p>
        </w:tc>
        <w:tc>
          <w:tcPr>
            <w:tcW w:w="1624" w:type="dxa"/>
            <w:tcBorders>
              <w:left w:val="single" w:sz="4" w:space="0" w:color="000000"/>
              <w:bottom w:val="single" w:sz="4" w:space="0" w:color="000000"/>
            </w:tcBorders>
          </w:tcPr>
          <w:p>
            <w:pPr>
              <w:pStyle w:val="Contedodatabela"/>
              <w:jc w:val="center"/>
              <w:rPr>
                <w:b/>
                <w:bCs/>
              </w:rPr>
            </w:pPr>
            <w:r>
              <w:rPr>
                <w:b/>
                <w:bCs/>
                <w:sz w:val="22"/>
                <w:szCs w:val="22"/>
              </w:rPr>
              <w:t>225.000,00</w:t>
            </w:r>
          </w:p>
        </w:tc>
        <w:tc>
          <w:tcPr>
            <w:tcW w:w="1622" w:type="dxa"/>
            <w:tcBorders>
              <w:left w:val="single" w:sz="4" w:space="0" w:color="000000"/>
              <w:bottom w:val="single" w:sz="4" w:space="0" w:color="000000"/>
            </w:tcBorders>
          </w:tcPr>
          <w:p>
            <w:pPr>
              <w:pStyle w:val="Contedodatabela"/>
              <w:jc w:val="center"/>
              <w:rPr>
                <w:b/>
                <w:bCs/>
              </w:rPr>
            </w:pPr>
            <w:r>
              <w:rPr>
                <w:b/>
                <w:bCs/>
                <w:sz w:val="22"/>
                <w:szCs w:val="22"/>
              </w:rPr>
              <w:t>237.330,00</w:t>
            </w:r>
          </w:p>
        </w:tc>
        <w:tc>
          <w:tcPr>
            <w:tcW w:w="1636" w:type="dxa"/>
            <w:tcBorders>
              <w:left w:val="single" w:sz="4" w:space="0" w:color="000000"/>
              <w:bottom w:val="single" w:sz="4" w:space="0" w:color="000000"/>
              <w:right w:val="single" w:sz="4" w:space="0" w:color="000000"/>
            </w:tcBorders>
          </w:tcPr>
          <w:p>
            <w:pPr>
              <w:pStyle w:val="Contedodatabela"/>
              <w:jc w:val="center"/>
              <w:rPr>
                <w:b/>
                <w:bCs/>
              </w:rPr>
            </w:pPr>
            <w:r>
              <w:rPr>
                <w:b/>
                <w:bCs/>
                <w:sz w:val="22"/>
                <w:szCs w:val="22"/>
              </w:rPr>
              <w:t>209.110,00</w:t>
            </w:r>
          </w:p>
        </w:tc>
      </w:tr>
      <w:tr>
        <w:trPr/>
        <w:tc>
          <w:tcPr>
            <w:tcW w:w="855" w:type="dxa"/>
            <w:tcBorders>
              <w:left w:val="single" w:sz="4" w:space="0" w:color="000000"/>
              <w:bottom w:val="single" w:sz="4" w:space="0" w:color="000000"/>
            </w:tcBorders>
          </w:tcPr>
          <w:p>
            <w:pPr>
              <w:pStyle w:val="Contedodatabela"/>
              <w:rPr>
                <w:sz w:val="22"/>
                <w:szCs w:val="22"/>
              </w:rPr>
            </w:pPr>
            <w:r>
              <w:rPr>
                <w:sz w:val="22"/>
                <w:szCs w:val="22"/>
              </w:rPr>
            </w:r>
          </w:p>
        </w:tc>
        <w:tc>
          <w:tcPr>
            <w:tcW w:w="2172" w:type="dxa"/>
            <w:tcBorders>
              <w:left w:val="single" w:sz="4" w:space="0" w:color="000000"/>
              <w:bottom w:val="single" w:sz="4" w:space="0" w:color="000000"/>
            </w:tcBorders>
          </w:tcPr>
          <w:p>
            <w:pPr>
              <w:pStyle w:val="Contedodatabela"/>
              <w:rPr>
                <w:sz w:val="22"/>
                <w:szCs w:val="22"/>
              </w:rPr>
            </w:pPr>
            <w:r>
              <w:rPr>
                <w:sz w:val="22"/>
                <w:szCs w:val="22"/>
              </w:rPr>
            </w:r>
          </w:p>
        </w:tc>
        <w:tc>
          <w:tcPr>
            <w:tcW w:w="1622" w:type="dxa"/>
            <w:tcBorders>
              <w:left w:val="single" w:sz="4" w:space="0" w:color="000000"/>
              <w:bottom w:val="single" w:sz="4" w:space="0" w:color="000000"/>
            </w:tcBorders>
          </w:tcPr>
          <w:p>
            <w:pPr>
              <w:pStyle w:val="Contedodatabela"/>
              <w:rPr>
                <w:sz w:val="22"/>
                <w:szCs w:val="22"/>
              </w:rPr>
            </w:pPr>
            <w:r>
              <w:rPr>
                <w:sz w:val="22"/>
                <w:szCs w:val="22"/>
              </w:rPr>
            </w:r>
          </w:p>
        </w:tc>
        <w:tc>
          <w:tcPr>
            <w:tcW w:w="1624" w:type="dxa"/>
            <w:tcBorders>
              <w:left w:val="single" w:sz="4" w:space="0" w:color="000000"/>
              <w:bottom w:val="single" w:sz="4" w:space="0" w:color="000000"/>
            </w:tcBorders>
          </w:tcPr>
          <w:p>
            <w:pPr>
              <w:pStyle w:val="Contedodatabela"/>
              <w:rPr>
                <w:sz w:val="22"/>
                <w:szCs w:val="22"/>
              </w:rPr>
            </w:pPr>
            <w:r>
              <w:rPr>
                <w:sz w:val="22"/>
                <w:szCs w:val="22"/>
              </w:rPr>
            </w:r>
          </w:p>
        </w:tc>
        <w:tc>
          <w:tcPr>
            <w:tcW w:w="1622" w:type="dxa"/>
            <w:tcBorders>
              <w:left w:val="single" w:sz="4" w:space="0" w:color="000000"/>
              <w:bottom w:val="single" w:sz="4" w:space="0" w:color="000000"/>
            </w:tcBorders>
          </w:tcPr>
          <w:p>
            <w:pPr>
              <w:pStyle w:val="Contedodatabela"/>
              <w:jc w:val="center"/>
              <w:rPr>
                <w:b/>
                <w:bCs/>
                <w:sz w:val="22"/>
                <w:szCs w:val="22"/>
              </w:rPr>
            </w:pPr>
            <w:r>
              <w:rPr>
                <w:b/>
                <w:bCs/>
                <w:sz w:val="22"/>
                <w:szCs w:val="22"/>
              </w:rPr>
              <w:t>TOTAL</w:t>
            </w:r>
          </w:p>
        </w:tc>
        <w:tc>
          <w:tcPr>
            <w:tcW w:w="1636" w:type="dxa"/>
            <w:tcBorders>
              <w:left w:val="single" w:sz="4" w:space="0" w:color="000000"/>
              <w:bottom w:val="single" w:sz="4" w:space="0" w:color="000000"/>
              <w:right w:val="single" w:sz="4" w:space="0" w:color="000000"/>
            </w:tcBorders>
          </w:tcPr>
          <w:p>
            <w:pPr>
              <w:pStyle w:val="Contedodatabela"/>
              <w:jc w:val="center"/>
              <w:rPr>
                <w:b/>
                <w:bCs/>
                <w:sz w:val="22"/>
                <w:szCs w:val="22"/>
              </w:rPr>
            </w:pPr>
            <w:r>
              <w:rPr>
                <w:b/>
                <w:bCs/>
                <w:sz w:val="22"/>
                <w:szCs w:val="22"/>
              </w:rPr>
              <w:t>209.110,00</w:t>
            </w:r>
          </w:p>
        </w:tc>
      </w:tr>
    </w:tbl>
    <w:p>
      <w:pPr>
        <w:pStyle w:val="Normal"/>
        <w:widowControl w:val="false"/>
        <w:spacing w:lineRule="auto" w:line="360"/>
        <w:ind w:hanging="2" w:left="0"/>
        <w:jc w:val="both"/>
        <w:rPr>
          <w:b w:val="false"/>
          <w:bCs w:val="false"/>
          <w:i/>
          <w:i/>
          <w:iCs/>
          <w:sz w:val="22"/>
          <w:szCs w:val="22"/>
        </w:rPr>
      </w:pPr>
      <w:r>
        <w:rPr>
          <w:b w:val="false"/>
          <w:bCs w:val="false"/>
          <w:i/>
          <w:iCs/>
          <w:sz w:val="22"/>
          <w:szCs w:val="22"/>
        </w:rPr>
      </w:r>
    </w:p>
    <w:p>
      <w:pPr>
        <w:pStyle w:val="Normal"/>
        <w:widowControl w:val="false"/>
        <w:spacing w:lineRule="auto" w:line="360"/>
        <w:ind w:hanging="2" w:left="0"/>
        <w:jc w:val="both"/>
        <w:rPr>
          <w:b w:val="false"/>
          <w:bCs w:val="false"/>
          <w:i/>
          <w:i/>
          <w:iCs/>
          <w:sz w:val="22"/>
          <w:szCs w:val="22"/>
        </w:rPr>
      </w:pPr>
      <w:r>
        <w:rPr>
          <w:b/>
          <w:bCs/>
          <w:i w:val="false"/>
          <w:iCs w:val="false"/>
          <w:sz w:val="22"/>
          <w:szCs w:val="22"/>
          <w:shd w:fill="auto" w:val="clear"/>
        </w:rPr>
        <w:t>9. ENTREGA E CRITÉRIOS DE ACEITAÇÃO DO OBJETO</w:t>
      </w:r>
    </w:p>
    <w:p>
      <w:pPr>
        <w:pStyle w:val="Normal"/>
        <w:spacing w:lineRule="auto" w:line="360"/>
        <w:ind w:hanging="2" w:left="0"/>
        <w:jc w:val="both"/>
        <w:rPr>
          <w:sz w:val="22"/>
          <w:szCs w:val="22"/>
        </w:rPr>
      </w:pPr>
      <w:permStart w:id="1009611788" w:edGrp="everyone_Copia_1"/>
      <w:r>
        <w:rPr>
          <w:sz w:val="22"/>
          <w:szCs w:val="22"/>
        </w:rPr>
        <w:t>O prazo de entrega do equipamento é de até 90 (noventa) dias, contados a partir do recebimento da solicitação de fornecimento/empenho, em remessa única.</w:t>
      </w:r>
      <w:permEnd w:id="1009611788"/>
    </w:p>
    <w:p>
      <w:pPr>
        <w:pStyle w:val="Normal"/>
        <w:spacing w:lineRule="auto" w:line="360"/>
        <w:ind w:hanging="2" w:left="0"/>
        <w:jc w:val="both"/>
        <w:rPr>
          <w:sz w:val="22"/>
          <w:szCs w:val="22"/>
        </w:rPr>
      </w:pPr>
      <w:r>
        <w:rPr>
          <w:rFonts w:eastAsia="Merriweather"/>
          <w:sz w:val="22"/>
          <w:szCs w:val="22"/>
        </w:rPr>
        <w:tab/>
        <w:t>A entrega do objeto deverá ser efetuada em data previamente agendada no almoxarifado municipal, de segunda a sexta-feira das 07h30 às 11h00 e das 13h00 às 17h00, acompanhados por servidor designado pela administração municipal.</w:t>
      </w:r>
    </w:p>
    <w:p>
      <w:pPr>
        <w:pStyle w:val="Normal"/>
        <w:spacing w:lineRule="auto" w:line="360"/>
        <w:ind w:hanging="2" w:left="0"/>
        <w:jc w:val="both"/>
        <w:rPr>
          <w:sz w:val="22"/>
          <w:szCs w:val="22"/>
        </w:rPr>
      </w:pPr>
      <w:r>
        <w:rPr>
          <w:rFonts w:eastAsia="Merriweather"/>
          <w:sz w:val="22"/>
          <w:szCs w:val="22"/>
        </w:rPr>
        <w:t>A licitante vencedora deverá apresentar, como forma de comprovação da garantia, Certificado de Garantia do Fabricante, ou documento similar, na entrega do produto.</w:t>
      </w:r>
    </w:p>
    <w:p>
      <w:pPr>
        <w:pStyle w:val="Normal"/>
        <w:spacing w:lineRule="auto" w:line="360"/>
        <w:ind w:hanging="2" w:left="0"/>
        <w:jc w:val="both"/>
        <w:rPr>
          <w:sz w:val="22"/>
          <w:szCs w:val="22"/>
        </w:rPr>
      </w:pPr>
      <w:r>
        <w:rPr>
          <w:rFonts w:eastAsia="Merriweather"/>
          <w:sz w:val="22"/>
          <w:szCs w:val="22"/>
        </w:rPr>
        <w:t>Quanto à assistência técnica a CONTRATADA deverá atender aos chamados da contratante no prazo máximo de 48 (quarenta e oito) horas da solicitação.</w:t>
      </w:r>
    </w:p>
    <w:p>
      <w:pPr>
        <w:pStyle w:val="Normal"/>
        <w:spacing w:lineRule="auto" w:line="360"/>
        <w:ind w:hanging="2" w:left="0"/>
        <w:jc w:val="both"/>
        <w:rPr>
          <w:sz w:val="22"/>
          <w:szCs w:val="22"/>
        </w:rPr>
      </w:pPr>
      <w:r>
        <w:rPr>
          <w:rFonts w:eastAsia="Merriweather"/>
          <w:sz w:val="22"/>
          <w:szCs w:val="22"/>
        </w:rPr>
        <w:t>Durante o período de garantia, a CONTRATANTE não efetuará nenhum tipo de pagamento à CONTRATADA a título de deslocamento de pessoal, hospedagem, produtos, mão de obra.</w:t>
      </w:r>
    </w:p>
    <w:p>
      <w:pPr>
        <w:pStyle w:val="Normal"/>
        <w:spacing w:lineRule="auto" w:line="360"/>
        <w:ind w:hanging="2" w:left="0"/>
        <w:jc w:val="both"/>
        <w:rPr>
          <w:sz w:val="22"/>
          <w:szCs w:val="22"/>
        </w:rPr>
      </w:pPr>
      <w:r>
        <w:rPr>
          <w:rFonts w:eastAsia="Merriweather"/>
          <w:sz w:val="22"/>
          <w:szCs w:val="22"/>
        </w:rPr>
        <w:t>Na hipótese de necessidade de substituição, a CONTRATADA deverá fazê-la em conformidade com a indicação da Administração, no prazo máximo de 15 (quinze) dias úteis, contados da notificação por escrito, mantidos o preço inicialmente contratado. Sendo que o ato do recebimento não importará na aceitação.</w:t>
      </w:r>
    </w:p>
    <w:p>
      <w:pPr>
        <w:pStyle w:val="Normal"/>
        <w:spacing w:lineRule="auto" w:line="360"/>
        <w:ind w:hanging="2" w:left="0"/>
        <w:jc w:val="both"/>
        <w:rPr>
          <w:sz w:val="22"/>
          <w:szCs w:val="22"/>
        </w:rPr>
      </w:pPr>
      <w:r>
        <w:rPr>
          <w:rFonts w:eastAsia="Merriweather"/>
          <w:sz w:val="22"/>
          <w:szCs w:val="22"/>
        </w:rPr>
        <w:t>Caso o bem não esteja de acordo com o licitado ou não satisfaça aos padrões especificados, conforme as exigências deste Termo e da licitação, a contratante reserva o direito de recusá-lo, o que acarretara o cancelamento do emprenho e o não pagamento.</w:t>
      </w:r>
    </w:p>
    <w:p>
      <w:pPr>
        <w:pStyle w:val="Normal"/>
        <w:widowControl w:val="false"/>
        <w:spacing w:lineRule="auto" w:line="360"/>
        <w:ind w:hanging="2" w:left="0"/>
        <w:jc w:val="both"/>
        <w:rPr>
          <w:b/>
          <w:bCs/>
          <w:i/>
          <w:i/>
          <w:iCs/>
        </w:rPr>
      </w:pPr>
      <w:r>
        <w:rPr>
          <w:b/>
          <w:bCs/>
          <w:i/>
          <w:iCs/>
        </w:rPr>
      </w:r>
    </w:p>
    <w:p>
      <w:pPr>
        <w:pStyle w:val="Normal"/>
        <w:widowControl w:val="false"/>
        <w:spacing w:lineRule="auto" w:line="360"/>
        <w:ind w:hanging="2" w:left="0"/>
        <w:jc w:val="both"/>
        <w:rPr>
          <w:sz w:val="22"/>
          <w:szCs w:val="22"/>
        </w:rPr>
      </w:pPr>
      <w:r>
        <w:rPr>
          <w:b/>
          <w:bCs/>
          <w:i/>
          <w:iCs/>
          <w:sz w:val="22"/>
          <w:szCs w:val="22"/>
        </w:rPr>
        <w:t>10 PRÉ-REQUISITOS E CONDIÇÕES DE ENTREGA</w:t>
      </w:r>
      <w:r>
        <w:rPr>
          <w:b w:val="false"/>
          <w:bCs w:val="false"/>
          <w:i/>
          <w:iCs/>
          <w:sz w:val="22"/>
          <w:szCs w:val="22"/>
        </w:rPr>
        <w:t xml:space="preserve"> -</w:t>
      </w:r>
    </w:p>
    <w:p>
      <w:pPr>
        <w:pStyle w:val="Normal"/>
        <w:spacing w:lineRule="auto" w:line="360"/>
        <w:ind w:hanging="2" w:left="0"/>
        <w:jc w:val="both"/>
        <w:rPr>
          <w:sz w:val="22"/>
          <w:szCs w:val="22"/>
        </w:rPr>
      </w:pPr>
      <w:r>
        <w:rPr>
          <w:rFonts w:eastAsia="Merriweather"/>
          <w:sz w:val="22"/>
          <w:szCs w:val="22"/>
        </w:rPr>
        <w:tab/>
        <w:t>Entregar os produtos de acordo com os padrões de qualidade e normas vigentes, e cumprir as especificações e condições estabelecidas no Edital. Não transferir a terceiro, por qualquer forma o contrato. Substituir, sem ônus para a Contratante, qualquer produto caso não atendam o padrão de qualidade exigido ou apresentem defeito de fabricação. Responsabilizar pelos custos de entrega dos produtos. O licitante vencedor se responsabilizará pela qualidade, quantidade e segurança dos produtos ofertados, não podendo apresentar deficiências técnicas, conforme as exigências deste Termo e da licitação, reservando à Prefeitura do direito de recusá-lo caso não satisfaça aos padrões especificados.</w:t>
      </w:r>
    </w:p>
    <w:p>
      <w:pPr>
        <w:pStyle w:val="Normal"/>
        <w:spacing w:lineRule="auto" w:line="360"/>
        <w:ind w:hanging="2" w:left="0"/>
        <w:jc w:val="both"/>
        <w:rPr>
          <w:sz w:val="22"/>
          <w:szCs w:val="22"/>
        </w:rPr>
      </w:pPr>
      <w:r>
        <w:rPr>
          <w:rFonts w:eastAsia="Merriweather"/>
          <w:sz w:val="22"/>
          <w:szCs w:val="22"/>
        </w:rPr>
        <w:t>Todas as despesas de embalagem, seguros, transporte, tributos, frete, carregamento, descarregamento, encargos trabalhistas e previdenciários e outros custos decorrentes direta e indiretamente do fornecimento do objeto, correrão por conta exclusiva da CONTRATADA. O licitante vencedor deverá providenciar a entrega dos bens permanentes em embalagem apropriada para que estes não sejam danificados quando do transporte e descarga local.</w:t>
      </w:r>
    </w:p>
    <w:p>
      <w:pPr>
        <w:pStyle w:val="Normal"/>
        <w:spacing w:lineRule="auto" w:line="360"/>
        <w:ind w:hanging="2" w:left="0"/>
        <w:jc w:val="both"/>
        <w:rPr>
          <w:sz w:val="22"/>
          <w:szCs w:val="22"/>
        </w:rPr>
      </w:pPr>
      <w:r>
        <w:rPr>
          <w:rFonts w:eastAsia="Merriweather"/>
          <w:sz w:val="22"/>
          <w:szCs w:val="22"/>
        </w:rPr>
        <w:t>Caso não seja possível a entrega na data indicada acima, o fornecedor deverá comunicar as razões respectivas com pelo menos 15 (quinze) dias de antecedência para qualquer pleito de prorrogação de prazo seja analisado, ressalvadas situações de caso fortuito e força maior.</w:t>
      </w:r>
    </w:p>
    <w:p>
      <w:pPr>
        <w:pStyle w:val="Normal"/>
        <w:spacing w:lineRule="auto" w:line="360"/>
        <w:ind w:hanging="2" w:left="0"/>
        <w:jc w:val="both"/>
        <w:rPr>
          <w:sz w:val="22"/>
          <w:szCs w:val="22"/>
        </w:rPr>
      </w:pPr>
      <w:r>
        <w:rPr>
          <w:rFonts w:eastAsia="Merriweather"/>
          <w:sz w:val="22"/>
          <w:szCs w:val="22"/>
        </w:rPr>
        <w:t>O objeto deverá portar manual de instruções, manutenção e do proprietário, todos em língua portuguesa.</w:t>
      </w:r>
    </w:p>
    <w:p>
      <w:pPr>
        <w:pStyle w:val="Normal"/>
        <w:spacing w:lineRule="auto" w:line="360"/>
        <w:ind w:hanging="2" w:left="0"/>
        <w:jc w:val="both"/>
        <w:rPr>
          <w:sz w:val="22"/>
          <w:szCs w:val="22"/>
        </w:rPr>
      </w:pPr>
      <w:r>
        <w:rPr>
          <w:rFonts w:eastAsia="Merriweather"/>
          <w:sz w:val="22"/>
          <w:szCs w:val="22"/>
        </w:rPr>
        <w:t>A licitante vencedora deverá apresentar, como forma de comprovação da garantia, Certificado de Garantia do Fabricante, ou documento similar, na entrega do produto.</w:t>
      </w:r>
    </w:p>
    <w:p>
      <w:pPr>
        <w:pStyle w:val="Normal"/>
        <w:spacing w:lineRule="auto" w:line="360"/>
        <w:ind w:hanging="2" w:left="0"/>
        <w:jc w:val="both"/>
        <w:rPr>
          <w:sz w:val="22"/>
          <w:szCs w:val="22"/>
        </w:rPr>
      </w:pPr>
      <w:r>
        <w:rPr>
          <w:rFonts w:eastAsia="Merriweather"/>
          <w:sz w:val="22"/>
          <w:szCs w:val="22"/>
        </w:rPr>
        <w:t>Quanto à assistência técnica a CONTRATADA deverá atender aos chamados da contratante no prazo máximo de 48 (quarenta e oito) horas da solicitação.</w:t>
      </w:r>
    </w:p>
    <w:p>
      <w:pPr>
        <w:pStyle w:val="Normal"/>
        <w:spacing w:lineRule="auto" w:line="360"/>
        <w:ind w:hanging="2" w:left="0"/>
        <w:jc w:val="both"/>
        <w:rPr>
          <w:sz w:val="22"/>
          <w:szCs w:val="22"/>
        </w:rPr>
      </w:pPr>
      <w:r>
        <w:rPr>
          <w:rFonts w:eastAsia="Merriweather"/>
          <w:sz w:val="22"/>
          <w:szCs w:val="22"/>
        </w:rPr>
        <w:t>Durante o período de garantia, a CONTRATANTE não efetuará nenhum tipo de pagamento à CONTRATADA a título de deslocamento de pessoal, hospedagem, produtos, mão de obra.</w:t>
      </w:r>
    </w:p>
    <w:p>
      <w:pPr>
        <w:pStyle w:val="Normal"/>
        <w:spacing w:lineRule="auto" w:line="360"/>
        <w:ind w:hanging="2" w:left="0"/>
        <w:jc w:val="both"/>
        <w:rPr>
          <w:sz w:val="22"/>
          <w:szCs w:val="22"/>
        </w:rPr>
      </w:pPr>
      <w:r>
        <w:rPr>
          <w:rFonts w:eastAsia="Merriweather"/>
          <w:sz w:val="22"/>
          <w:szCs w:val="22"/>
        </w:rPr>
        <w:t>Na hipótese de necessidade de substituição, a CONTRATADA deverá fazê-la em conformidade com a indicação da Administração, no prazo máximo de 15 (quinze) dias úteis, contados da notificação por escrito, mantidos o preço inicialmente contratado. Sendo que o ato do recebimento não importará na aceitação.</w:t>
      </w:r>
    </w:p>
    <w:p>
      <w:pPr>
        <w:pStyle w:val="Normal"/>
        <w:spacing w:lineRule="auto" w:line="360"/>
        <w:ind w:hanging="2" w:left="0"/>
        <w:jc w:val="both"/>
        <w:rPr>
          <w:sz w:val="22"/>
          <w:szCs w:val="22"/>
          <w:highlight w:val="none"/>
          <w:shd w:fill="auto" w:val="clear"/>
        </w:rPr>
      </w:pPr>
      <w:r>
        <w:rPr>
          <w:rFonts w:eastAsia="Merriweather"/>
          <w:sz w:val="22"/>
          <w:szCs w:val="22"/>
          <w:shd w:fill="auto" w:val="clear"/>
        </w:rPr>
        <w:t xml:space="preserve"> </w:t>
      </w:r>
      <w:r>
        <w:rPr>
          <w:rFonts w:eastAsia="Merriweather"/>
          <w:sz w:val="22"/>
          <w:szCs w:val="22"/>
          <w:shd w:fill="auto" w:val="clear"/>
        </w:rPr>
        <w:t>A CONTRATADA deverá designar por escrito, no ato do recebimento da Autorização de Serviços, preposto (s) que tenham poderes para resolução de possíveis ocorrências durante a execução;</w:t>
      </w:r>
    </w:p>
    <w:p>
      <w:pPr>
        <w:pStyle w:val="Normal"/>
        <w:spacing w:lineRule="auto" w:line="360"/>
        <w:ind w:hanging="2" w:left="0"/>
        <w:jc w:val="both"/>
        <w:rPr>
          <w:sz w:val="22"/>
          <w:szCs w:val="22"/>
          <w:highlight w:val="none"/>
          <w:shd w:fill="auto" w:val="clear"/>
        </w:rPr>
      </w:pPr>
      <w:r>
        <w:rPr>
          <w:rFonts w:eastAsia="Merriweather"/>
          <w:sz w:val="22"/>
          <w:szCs w:val="22"/>
          <w:shd w:fill="auto" w:val="clear"/>
        </w:rPr>
        <w:t>A CONTRATADA deverá responsabilizar-se pelos danos causados diretamente à Administração ou a terceiros, na forma do Art.120 da Lei 14.133/21, de 01 de abril de 2021 e suas alterações posteriores e ainda pelos encargos: trabalhistas, previdenciários, fiscais e comerciais resultantes da prestação de serviços.</w:t>
      </w:r>
    </w:p>
    <w:p>
      <w:pPr>
        <w:pStyle w:val="Normal"/>
        <w:spacing w:lineRule="auto" w:line="360"/>
        <w:ind w:hanging="2" w:left="0"/>
        <w:jc w:val="both"/>
        <w:rPr>
          <w:sz w:val="22"/>
          <w:szCs w:val="22"/>
        </w:rPr>
      </w:pPr>
      <w:r>
        <w:rPr>
          <w:rFonts w:eastAsia="Merriweather"/>
          <w:sz w:val="22"/>
          <w:szCs w:val="22"/>
        </w:rPr>
        <w:t>A CONTRATADA deverá prestar todos os esclarecimentos que lhe forem solicitados pela CONTRATANTE, atendendo prontamente a quaisquer reclamações.</w:t>
      </w:r>
    </w:p>
    <w:p>
      <w:pPr>
        <w:pStyle w:val="Normal"/>
        <w:spacing w:lineRule="auto" w:line="360"/>
        <w:ind w:hanging="2" w:left="0"/>
        <w:jc w:val="both"/>
        <w:rPr>
          <w:sz w:val="22"/>
          <w:szCs w:val="22"/>
        </w:rPr>
      </w:pPr>
      <w:r>
        <w:rPr>
          <w:rFonts w:eastAsia="Merriweather"/>
          <w:sz w:val="22"/>
          <w:szCs w:val="22"/>
        </w:rPr>
        <w:t>A CONTRATADA deverá responsabilizar-se pelos vícios e danos decorrentes do objeto, de acordo com os artigos 12, 13 e 17 a 27, do Código de Defesa do Consumidor (Lei nº 8.078, de 1990), ficando a Contratante autorizada a descontar dos pagamentos devidos à Contratada, o valor correspondente aos danos sofridos;</w:t>
      </w:r>
    </w:p>
    <w:p>
      <w:pPr>
        <w:pStyle w:val="Normal"/>
        <w:spacing w:lineRule="auto" w:line="360"/>
        <w:ind w:hanging="2" w:left="0"/>
        <w:jc w:val="both"/>
        <w:rPr>
          <w:sz w:val="22"/>
          <w:szCs w:val="22"/>
        </w:rPr>
      </w:pPr>
      <w:r>
        <w:rPr>
          <w:rFonts w:eastAsia="Merriweather"/>
          <w:sz w:val="22"/>
          <w:szCs w:val="22"/>
        </w:rPr>
        <w:t>Prazo de garantia do produto de 01 (um) ano contra defeitos de fabricação, fornecida pela empresa proponente, bem como as demais disposições do Código de Defesa ao Consumidor (Lei federal n. 8.078, de 11 de setembro de 1990).</w:t>
      </w:r>
    </w:p>
    <w:p>
      <w:pPr>
        <w:pStyle w:val="Normal"/>
        <w:spacing w:lineRule="auto" w:line="360"/>
        <w:ind w:hanging="2" w:left="0"/>
        <w:jc w:val="both"/>
        <w:rPr>
          <w:sz w:val="22"/>
          <w:szCs w:val="22"/>
        </w:rPr>
      </w:pPr>
      <w:r>
        <w:rPr>
          <w:rFonts w:eastAsia="Merriweather"/>
          <w:sz w:val="22"/>
          <w:szCs w:val="22"/>
        </w:rPr>
        <w:t>A garantia será prestada com vistas a manter o(s) produto(s) fornecidos em perfeitas condições de uso/consumo, sem qualquer ônus/custo adicional para o Município.</w:t>
      </w:r>
    </w:p>
    <w:p>
      <w:pPr>
        <w:pStyle w:val="Normal"/>
        <w:spacing w:lineRule="auto" w:line="360"/>
        <w:ind w:hanging="2" w:left="0"/>
        <w:jc w:val="both"/>
        <w:rPr>
          <w:sz w:val="22"/>
          <w:szCs w:val="22"/>
        </w:rPr>
      </w:pPr>
      <w:r>
        <w:rPr>
          <w:sz w:val="22"/>
          <w:szCs w:val="22"/>
        </w:rPr>
      </w:r>
    </w:p>
    <w:p>
      <w:pPr>
        <w:pStyle w:val="Normal"/>
        <w:widowControl w:val="false"/>
        <w:spacing w:lineRule="auto" w:line="360"/>
        <w:ind w:hanging="2" w:left="0"/>
        <w:jc w:val="both"/>
        <w:rPr>
          <w:b/>
          <w:bCs/>
          <w:sz w:val="22"/>
          <w:szCs w:val="22"/>
          <w:highlight w:val="none"/>
          <w:shd w:fill="auto" w:val="clear"/>
        </w:rPr>
      </w:pPr>
      <w:r>
        <w:rPr>
          <w:b/>
          <w:bCs/>
          <w:i/>
          <w:iCs/>
          <w:sz w:val="22"/>
          <w:szCs w:val="22"/>
          <w:shd w:fill="auto" w:val="clear"/>
        </w:rPr>
        <w:t>11. DEVERES DO CONTRATADO E DO CONTRATANTE E SANÇÕES</w:t>
      </w:r>
    </w:p>
    <w:p>
      <w:pPr>
        <w:pStyle w:val="Normal"/>
        <w:spacing w:lineRule="auto" w:line="360"/>
        <w:ind w:hanging="2" w:left="0"/>
        <w:jc w:val="both"/>
        <w:rPr>
          <w:sz w:val="22"/>
          <w:szCs w:val="22"/>
        </w:rPr>
      </w:pPr>
      <w:r>
        <w:rPr>
          <w:rFonts w:eastAsia="Merriweather"/>
          <w:sz w:val="22"/>
          <w:szCs w:val="22"/>
        </w:rPr>
        <w:t>O contrato deverá ser executado fielmente pelas partes, de acordo com as cláusulas avençadas e as normas da Lei nº 14.133, de 2021 e cada parte responderá pelas consequências de sua inexecução total ou parcial.</w:t>
      </w:r>
    </w:p>
    <w:p>
      <w:pPr>
        <w:pStyle w:val="Normal"/>
        <w:spacing w:lineRule="auto" w:line="360"/>
        <w:ind w:hanging="2" w:left="0"/>
        <w:jc w:val="both"/>
        <w:rPr>
          <w:sz w:val="22"/>
          <w:szCs w:val="22"/>
        </w:rPr>
      </w:pPr>
      <w:r>
        <w:rPr>
          <w:rFonts w:eastAsia="Merriweather"/>
          <w:sz w:val="22"/>
          <w:szCs w:val="22"/>
        </w:rPr>
        <w:t>Em caso de impedimento, ordem de paralisação ou suspensão do contrato, o cronograma de execução será prorrogado automaticamente pelo tempo correspondente, anotadas tais circunstâncias mediante simples apostila.</w:t>
      </w:r>
    </w:p>
    <w:p>
      <w:pPr>
        <w:pStyle w:val="Normal"/>
        <w:spacing w:lineRule="auto" w:line="360"/>
        <w:ind w:hanging="2" w:left="0"/>
        <w:jc w:val="both"/>
        <w:rPr>
          <w:sz w:val="22"/>
          <w:szCs w:val="22"/>
        </w:rPr>
      </w:pPr>
      <w:r>
        <w:rPr>
          <w:rFonts w:eastAsia="Merriweather"/>
          <w:sz w:val="22"/>
          <w:szCs w:val="22"/>
        </w:rPr>
        <w:t>As comunicações entre o órgão ou entidade e a contratada devem ser realizadas por escrito sempre que o ato exigir tal formalidade, admitindo-se o uso de mensagem eletrônica para esse fim.</w:t>
      </w:r>
    </w:p>
    <w:p>
      <w:pPr>
        <w:pStyle w:val="Normal"/>
        <w:spacing w:lineRule="auto" w:line="360"/>
        <w:ind w:hanging="2" w:left="0"/>
        <w:jc w:val="both"/>
        <w:rPr>
          <w:sz w:val="22"/>
          <w:szCs w:val="22"/>
        </w:rPr>
      </w:pPr>
      <w:r>
        <w:rPr>
          <w:rFonts w:eastAsia="Merriweather"/>
          <w:sz w:val="22"/>
          <w:szCs w:val="22"/>
        </w:rPr>
        <w:t>O órgão ou entidade poderá convocar representante da empresa para adoção de providências que devam ser cumpridas de imediato.</w:t>
      </w:r>
    </w:p>
    <w:p>
      <w:pPr>
        <w:pStyle w:val="Normal"/>
        <w:spacing w:lineRule="auto" w:line="360"/>
        <w:ind w:hanging="2" w:left="0"/>
        <w:jc w:val="both"/>
        <w:rPr>
          <w:sz w:val="22"/>
          <w:szCs w:val="22"/>
        </w:rPr>
      </w:pPr>
      <w:r>
        <w:rPr>
          <w:rFonts w:eastAsia="Merriweather"/>
          <w:sz w:val="22"/>
          <w:szCs w:val="22"/>
        </w:rPr>
        <w:t>Após a assinatura do contrato ou instrumento equivalente</w:t>
      </w:r>
      <w:r>
        <w:rPr>
          <w:rFonts w:eastAsia="Merriweather"/>
          <w:strike/>
          <w:sz w:val="22"/>
          <w:szCs w:val="22"/>
        </w:rPr>
        <w:t>,</w:t>
      </w:r>
      <w:r>
        <w:rPr>
          <w:rFonts w:eastAsia="Merriweather"/>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ormal"/>
        <w:spacing w:lineRule="auto" w:line="360"/>
        <w:ind w:hanging="2" w:left="0"/>
        <w:jc w:val="both"/>
        <w:rPr>
          <w:sz w:val="22"/>
          <w:szCs w:val="22"/>
        </w:rPr>
      </w:pPr>
      <w:r>
        <w:rPr>
          <w:rFonts w:eastAsia="Merriweather"/>
          <w:sz w:val="22"/>
          <w:szCs w:val="22"/>
        </w:rPr>
        <w:t>A execução do contrato deverá ser acompanhada e fiscalizada pelo fiscal do contrato, ou pelos respectivos substitutos (Decreto nº. 3.537, de 09 de maio de 2023, art. 163).</w:t>
      </w:r>
    </w:p>
    <w:p>
      <w:pPr>
        <w:pStyle w:val="Normal"/>
        <w:spacing w:lineRule="auto" w:line="360"/>
        <w:ind w:hanging="2" w:left="0"/>
        <w:jc w:val="both"/>
        <w:rPr>
          <w:sz w:val="22"/>
          <w:szCs w:val="22"/>
        </w:rPr>
      </w:pPr>
      <w:r>
        <w:rPr>
          <w:rFonts w:eastAsia="Merriweather"/>
          <w:sz w:val="22"/>
          <w:szCs w:val="22"/>
        </w:rPr>
        <w:t>O fiscal técnico do contrato acompanhará a execução do contrato, para que sejam cumpridas todas as condições estabelecidas no contrato, de modo a assegurar os melhores resultados para a Administração. (Decreto nº 3.537, de 09 de maio de 2023);</w:t>
      </w:r>
    </w:p>
    <w:p>
      <w:pPr>
        <w:pStyle w:val="Normal"/>
        <w:spacing w:lineRule="auto" w:line="360"/>
        <w:ind w:hanging="2" w:left="0"/>
        <w:jc w:val="both"/>
        <w:rPr/>
      </w:pPr>
      <w:r>
        <w:rPr>
          <w:rFonts w:eastAsia="Merriweather"/>
          <w:sz w:val="22"/>
          <w:szCs w:val="22"/>
        </w:rPr>
        <w:t>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r>
        <w:fldChar w:fldCharType="begin"/>
      </w:r>
      <w:r>
        <w:rPr>
          <w:rStyle w:val="Style3"/>
          <w:sz w:val="22"/>
          <w:szCs w:val="22"/>
          <w:rFonts w:eastAsia="Merriweather"/>
        </w:rPr>
        <w:instrText xml:space="preserve"> HYPERLINK "https://www.planalto.gov.br/ccivil_03/_ato2019-2022/2022/Decreto/D11246.htm" \l "art22"</w:instrText>
      </w:r>
      <w:r>
        <w:rPr>
          <w:rStyle w:val="Style3"/>
          <w:sz w:val="22"/>
          <w:szCs w:val="22"/>
          <w:rFonts w:eastAsia="Merriweather"/>
        </w:rPr>
        <w:fldChar w:fldCharType="separate"/>
      </w:r>
      <w:r>
        <w:rPr>
          <w:rStyle w:val="Style3"/>
          <w:rFonts w:eastAsia="Merriweather"/>
          <w:sz w:val="22"/>
          <w:szCs w:val="22"/>
        </w:rPr>
        <w:t>)</w:t>
      </w:r>
      <w:r>
        <w:rPr>
          <w:rStyle w:val="Style3"/>
          <w:sz w:val="22"/>
          <w:szCs w:val="22"/>
          <w:rFonts w:eastAsia="Merriweather"/>
        </w:rPr>
        <w:fldChar w:fldCharType="end"/>
      </w:r>
      <w:r>
        <w:rPr>
          <w:rFonts w:eastAsia="Merriweather"/>
          <w:sz w:val="22"/>
          <w:szCs w:val="22"/>
        </w:rPr>
        <w:t>;</w:t>
      </w:r>
    </w:p>
    <w:p>
      <w:pPr>
        <w:pStyle w:val="Normal"/>
        <w:spacing w:lineRule="auto" w:line="360"/>
        <w:ind w:hanging="2" w:left="0"/>
        <w:jc w:val="both"/>
        <w:rPr>
          <w:sz w:val="22"/>
          <w:szCs w:val="22"/>
        </w:rPr>
      </w:pPr>
      <w:r>
        <w:rPr>
          <w:rFonts w:eastAsia="Merriweather"/>
          <w:sz w:val="22"/>
          <w:szCs w:val="22"/>
        </w:rPr>
        <w:t>Identificada qualquer inexatidão ou irregularidade, o fiscal técnico do contrato emitirá notificações para a correção da execução do contrato, determinando prazo para a correção. (Decreto nº 3.537, de 09 de maio de 2023, art. 12, II);</w:t>
      </w:r>
    </w:p>
    <w:p>
      <w:pPr>
        <w:pStyle w:val="Normal"/>
        <w:spacing w:lineRule="auto" w:line="360"/>
        <w:ind w:hanging="2" w:left="0"/>
        <w:jc w:val="both"/>
        <w:rPr>
          <w:sz w:val="22"/>
          <w:szCs w:val="22"/>
        </w:rPr>
      </w:pPr>
      <w:r>
        <w:rPr>
          <w:rFonts w:eastAsia="Merriweather"/>
          <w:sz w:val="22"/>
          <w:szCs w:val="22"/>
        </w:rPr>
        <w:t>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pPr>
        <w:pStyle w:val="Normal"/>
        <w:spacing w:lineRule="auto" w:line="360"/>
        <w:ind w:hanging="2" w:left="0"/>
        <w:jc w:val="both"/>
        <w:rPr>
          <w:sz w:val="22"/>
          <w:szCs w:val="22"/>
        </w:rPr>
      </w:pPr>
      <w:r>
        <w:rPr>
          <w:rFonts w:eastAsia="Merriweather"/>
          <w:sz w:val="22"/>
          <w:szCs w:val="22"/>
        </w:rPr>
        <w:t>No caso de ocorrências que possam inviabilizar a execução do contrato nas datas aprazadas, o fiscal técnico do contrato comunicará o fato imediatamente ao gestor do contrato. (Decreto nº 3.537, de 09 de maio de 2023, art. 12).</w:t>
      </w:r>
    </w:p>
    <w:p>
      <w:pPr>
        <w:pStyle w:val="Normal"/>
        <w:spacing w:lineRule="auto" w:line="360"/>
        <w:ind w:hanging="2" w:left="0"/>
        <w:jc w:val="both"/>
        <w:rPr>
          <w:sz w:val="22"/>
          <w:szCs w:val="22"/>
        </w:rPr>
      </w:pPr>
      <w:r>
        <w:rPr>
          <w:rFonts w:eastAsia="Merriweather"/>
          <w:sz w:val="22"/>
          <w:szCs w:val="22"/>
        </w:rPr>
        <w:t>O fiscal técnico do contrato comunicar ao gestor do contrato, em tempo hábil, o término do contrato sob sua responsabilidade, com vistas à renovação tempestiva ou à prorrogação contratual (Decreto nº 3.537, de 09 de maio de 2023, art. 12).</w:t>
      </w:r>
    </w:p>
    <w:p>
      <w:pPr>
        <w:pStyle w:val="Normal"/>
        <w:spacing w:lineRule="auto" w:line="360"/>
        <w:ind w:hanging="2" w:left="0"/>
        <w:jc w:val="both"/>
        <w:rPr>
          <w:sz w:val="22"/>
          <w:szCs w:val="22"/>
        </w:rPr>
      </w:pPr>
      <w:r>
        <w:rPr>
          <w:rFonts w:eastAsia="Merriweather"/>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nº 3.537, de 09 de maio de 2023, art. 12, §7º).</w:t>
      </w:r>
    </w:p>
    <w:p>
      <w:pPr>
        <w:pStyle w:val="Normal"/>
        <w:spacing w:lineRule="auto" w:line="360"/>
        <w:ind w:hanging="2" w:left="0"/>
        <w:jc w:val="both"/>
        <w:rPr>
          <w:sz w:val="22"/>
          <w:szCs w:val="22"/>
        </w:rPr>
      </w:pPr>
      <w:r>
        <w:rPr>
          <w:rFonts w:eastAsia="Merriweather"/>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pPr>
        <w:pStyle w:val="Normal"/>
        <w:spacing w:lineRule="auto" w:line="360"/>
        <w:ind w:hanging="2" w:left="0"/>
        <w:jc w:val="both"/>
        <w:rPr>
          <w:sz w:val="22"/>
          <w:szCs w:val="22"/>
        </w:rPr>
      </w:pPr>
      <w:r>
        <w:rPr>
          <w:rFonts w:eastAsia="Merriweather"/>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pPr>
        <w:pStyle w:val="Normal"/>
        <w:spacing w:lineRule="auto" w:line="360"/>
        <w:ind w:hanging="2" w:left="0"/>
        <w:jc w:val="both"/>
        <w:rPr>
          <w:sz w:val="22"/>
          <w:szCs w:val="22"/>
        </w:rPr>
      </w:pPr>
      <w:r>
        <w:rPr>
          <w:rFonts w:eastAsia="Merriweather"/>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pPr>
        <w:pStyle w:val="Normal"/>
        <w:spacing w:lineRule="auto" w:line="360"/>
        <w:ind w:hanging="2" w:left="0"/>
        <w:jc w:val="both"/>
        <w:rPr>
          <w:sz w:val="22"/>
          <w:szCs w:val="22"/>
        </w:rPr>
      </w:pPr>
      <w:r>
        <w:rPr>
          <w:rFonts w:eastAsia="Merriweather"/>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pPr>
        <w:pStyle w:val="Normal"/>
        <w:spacing w:lineRule="auto" w:line="360"/>
        <w:ind w:hanging="2" w:left="0"/>
        <w:jc w:val="both"/>
        <w:rPr>
          <w:sz w:val="22"/>
          <w:szCs w:val="22"/>
        </w:rPr>
      </w:pPr>
      <w:r>
        <w:rPr>
          <w:rFonts w:eastAsia="Merriweather"/>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pPr>
        <w:pStyle w:val="Normal"/>
        <w:spacing w:lineRule="auto" w:line="360"/>
        <w:ind w:hanging="2" w:left="0"/>
        <w:jc w:val="both"/>
        <w:rPr>
          <w:sz w:val="22"/>
          <w:szCs w:val="22"/>
        </w:rPr>
      </w:pPr>
      <w:r>
        <w:rPr>
          <w:rFonts w:eastAsia="Merriweather"/>
          <w:sz w:val="22"/>
          <w:szCs w:val="22"/>
        </w:rPr>
        <w:t>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pPr>
        <w:pStyle w:val="Normal"/>
        <w:spacing w:lineRule="auto" w:line="360"/>
        <w:ind w:hanging="2" w:left="0"/>
        <w:jc w:val="both"/>
        <w:rPr>
          <w:sz w:val="22"/>
          <w:szCs w:val="22"/>
        </w:rPr>
      </w:pPr>
      <w:r>
        <w:rPr>
          <w:rFonts w:eastAsia="Merriweather"/>
          <w:sz w:val="22"/>
          <w:szCs w:val="22"/>
        </w:rPr>
        <w:t>O fiscal administrativo do contrato comunicará ao gestor do contrato, em tempo hábil, o término do contrato sob sua responsabilidade, com vistas à tempestiva renovação ou prorrogação contratual (Decreto nº 3.537, de 09 de maio de 2023, art. 12).</w:t>
      </w:r>
    </w:p>
    <w:p>
      <w:pPr>
        <w:pStyle w:val="Normal"/>
        <w:spacing w:lineRule="auto" w:line="360"/>
        <w:ind w:hanging="2" w:left="0"/>
        <w:jc w:val="both"/>
        <w:rPr>
          <w:sz w:val="22"/>
          <w:szCs w:val="22"/>
        </w:rPr>
      </w:pPr>
      <w:r>
        <w:rPr>
          <w:rFonts w:eastAsia="Merriweather"/>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3.537, de 09 de maio de 2023, art. 10).</w:t>
      </w:r>
    </w:p>
    <w:p>
      <w:pPr>
        <w:pStyle w:val="Normal"/>
        <w:spacing w:lineRule="auto" w:line="360"/>
        <w:ind w:hanging="2" w:left="0"/>
        <w:jc w:val="both"/>
        <w:rPr>
          <w:sz w:val="22"/>
          <w:szCs w:val="22"/>
        </w:rPr>
      </w:pPr>
      <w:r>
        <w:rPr>
          <w:rFonts w:eastAsia="Merriweather"/>
          <w:sz w:val="22"/>
          <w:szCs w:val="22"/>
        </w:rPr>
        <w:t>A CONTRATADA deverá instruir seus empregados quanto à necessidade de acatar as Normas Internas da Administração;</w:t>
      </w:r>
    </w:p>
    <w:p>
      <w:pPr>
        <w:pStyle w:val="Normal"/>
        <w:spacing w:lineRule="auto" w:line="360"/>
        <w:ind w:hanging="2" w:left="0"/>
        <w:jc w:val="both"/>
        <w:rPr>
          <w:sz w:val="22"/>
          <w:szCs w:val="22"/>
        </w:rPr>
      </w:pPr>
      <w:r>
        <w:rPr>
          <w:rFonts w:eastAsia="Merriweather"/>
          <w:sz w:val="22"/>
          <w:szCs w:val="22"/>
        </w:rPr>
        <w:t>A CONTRATADA deverá instruir seus empregados a respeito das atividades a serem desempenhadas, alertando-os a não executar atividades não abrangidas pelo contrato;</w:t>
      </w:r>
    </w:p>
    <w:p>
      <w:pPr>
        <w:pStyle w:val="Normal"/>
        <w:spacing w:lineRule="auto" w:line="360"/>
        <w:ind w:hanging="2" w:left="0"/>
        <w:jc w:val="both"/>
        <w:rPr>
          <w:sz w:val="22"/>
          <w:szCs w:val="22"/>
        </w:rPr>
      </w:pPr>
      <w:r>
        <w:rPr>
          <w:rFonts w:eastAsia="Merriweather"/>
          <w:sz w:val="22"/>
          <w:szCs w:val="22"/>
        </w:rPr>
        <w:t>A CONTRATADA deverá utilizar empregados habilitados e com conhecimentos básicos para a perfeita execução;</w:t>
      </w:r>
    </w:p>
    <w:p>
      <w:pPr>
        <w:pStyle w:val="Normal"/>
        <w:spacing w:lineRule="auto" w:line="360"/>
        <w:ind w:hanging="2" w:left="0"/>
        <w:jc w:val="both"/>
        <w:rPr>
          <w:sz w:val="22"/>
          <w:szCs w:val="22"/>
        </w:rPr>
      </w:pPr>
      <w:r>
        <w:rPr>
          <w:rFonts w:eastAsia="Merriweather"/>
          <w:sz w:val="22"/>
          <w:szCs w:val="22"/>
        </w:rPr>
        <w:t>A CONTRATADA deverá disponibilizar à Contratante os empregados devidamente uniformizados e provê-los com os Equipamentos de Proteção Individual - EPI, quando for o caso;</w:t>
      </w:r>
    </w:p>
    <w:p>
      <w:pPr>
        <w:pStyle w:val="Normal"/>
        <w:spacing w:lineRule="auto" w:line="360"/>
        <w:ind w:hanging="2" w:left="0"/>
        <w:jc w:val="both"/>
        <w:rPr>
          <w:sz w:val="22"/>
          <w:szCs w:val="22"/>
        </w:rPr>
      </w:pPr>
      <w:r>
        <w:rPr>
          <w:rFonts w:eastAsia="Merriweather"/>
          <w:sz w:val="22"/>
          <w:szCs w:val="22"/>
        </w:rPr>
        <w:t xml:space="preserve"> </w:t>
      </w:r>
      <w:r>
        <w:rPr>
          <w:rFonts w:eastAsia="Merriweather"/>
          <w:sz w:val="22"/>
          <w:szCs w:val="22"/>
        </w:rPr>
        <w:t>A CONTRATADA deverá guardar sigilo sobre todas as informações obtidas em decorrência do cumprimento do contrato;</w:t>
      </w:r>
    </w:p>
    <w:p>
      <w:pPr>
        <w:pStyle w:val="Normal"/>
        <w:spacing w:lineRule="auto" w:line="360"/>
        <w:ind w:hanging="2" w:left="0"/>
        <w:jc w:val="both"/>
        <w:rPr>
          <w:sz w:val="22"/>
          <w:szCs w:val="22"/>
        </w:rPr>
      </w:pPr>
      <w:r>
        <w:rPr>
          <w:rFonts w:eastAsia="Merriweather"/>
          <w:sz w:val="22"/>
          <w:szCs w:val="22"/>
        </w:rPr>
        <w:t xml:space="preserve"> </w:t>
      </w:r>
      <w:r>
        <w:rPr>
          <w:rFonts w:eastAsia="Merriweather"/>
          <w:sz w:val="22"/>
          <w:szCs w:val="22"/>
        </w:rPr>
        <w:t>A CONTRATADA deverá responder pelas despesas resultantes de quaisquer ações, demandas, decorrentes de dano seja por culpa sua ou qualquer de seus empregados e prepostos, obrigando-se por quais quer responsabilidade decorrente de ações judiciais de terceiros, que lhe venham a ser exigidas por força de lei, ligadas ao cumprimento do presente Contrato;</w:t>
      </w:r>
    </w:p>
    <w:p>
      <w:pPr>
        <w:pStyle w:val="Normal"/>
        <w:spacing w:lineRule="auto" w:line="360"/>
        <w:ind w:hanging="2" w:left="0"/>
        <w:jc w:val="both"/>
        <w:rPr>
          <w:sz w:val="22"/>
          <w:szCs w:val="22"/>
        </w:rPr>
      </w:pPr>
      <w:r>
        <w:rPr>
          <w:rFonts w:eastAsia="Merriweather"/>
          <w:sz w:val="22"/>
          <w:szCs w:val="22"/>
        </w:rPr>
        <w:t xml:space="preserve"> </w:t>
      </w:r>
      <w:r>
        <w:rPr>
          <w:rFonts w:eastAsia="Merriweather"/>
          <w:sz w:val="22"/>
          <w:szCs w:val="22"/>
        </w:rPr>
        <w:t>A CONTRATADA deverá arcar com todas as despesas diretas e indiretas, decorrentes do cumprimento das obrigações assumidas, sem qualquer ônus a contratante;</w:t>
      </w:r>
    </w:p>
    <w:p>
      <w:pPr>
        <w:pStyle w:val="Normal"/>
        <w:spacing w:lineRule="auto" w:line="360"/>
        <w:ind w:hanging="2" w:left="0"/>
        <w:jc w:val="both"/>
        <w:rPr>
          <w:sz w:val="22"/>
          <w:szCs w:val="22"/>
        </w:rPr>
      </w:pPr>
      <w:r>
        <w:rPr>
          <w:rFonts w:eastAsia="Merriweather"/>
          <w:sz w:val="22"/>
          <w:szCs w:val="22"/>
        </w:rPr>
        <w:t>A CONTRATADA deverá conduzir os trabalhos com estrita observância às normas da legislação pertinente, cumprindo as determinações dos Poderes Públicos;</w:t>
      </w:r>
    </w:p>
    <w:p>
      <w:pPr>
        <w:pStyle w:val="Normal"/>
        <w:spacing w:lineRule="auto" w:line="360"/>
        <w:ind w:hanging="0" w:left="-2"/>
        <w:jc w:val="both"/>
        <w:rPr>
          <w:sz w:val="22"/>
          <w:szCs w:val="22"/>
        </w:rPr>
      </w:pPr>
      <w:r>
        <w:rPr>
          <w:rFonts w:eastAsia="Merriweather"/>
          <w:sz w:val="22"/>
          <w:szCs w:val="22"/>
        </w:rPr>
        <w:t>A CONTRATADA deverá submeter previamente, por escrito, à Contratante, para análise e aprovação, qualquer mudança no método de execução do serviço que fuja das especificações constantes de Termo de Referência a ser elaborado.</w:t>
      </w:r>
    </w:p>
    <w:p>
      <w:pPr>
        <w:pStyle w:val="Normal"/>
        <w:spacing w:lineRule="auto" w:line="360"/>
        <w:ind w:hanging="0" w:left="-2"/>
        <w:jc w:val="both"/>
        <w:rPr>
          <w:sz w:val="22"/>
          <w:szCs w:val="22"/>
        </w:rPr>
      </w:pPr>
      <w:r>
        <w:rPr>
          <w:rFonts w:eastAsia="Merriweather"/>
          <w:sz w:val="22"/>
          <w:szCs w:val="22"/>
        </w:rPr>
        <w:t>A CONTRATADA deverá cumprir, além dos postulados legais vigentes de âmbito federal, estadual ou municipal, as normas de segurança da Contratante;</w:t>
      </w:r>
    </w:p>
    <w:p>
      <w:pPr>
        <w:pStyle w:val="Normal"/>
        <w:spacing w:lineRule="auto" w:line="360"/>
        <w:ind w:hanging="2" w:left="0"/>
        <w:jc w:val="both"/>
        <w:rPr>
          <w:sz w:val="22"/>
          <w:szCs w:val="22"/>
        </w:rPr>
      </w:pPr>
      <w:r>
        <w:rPr>
          <w:rFonts w:eastAsia="Merriweather"/>
          <w:sz w:val="22"/>
          <w:szCs w:val="22"/>
        </w:rPr>
        <w:t>A CONTRATADA deverá proceder a entrega somente mediante a apresentação da Ordem de Execução, na qual constarão, dentre outras informações, o endereço, horário, responsável pelo recebimento/fiscal do contrato, bem como dimensionamento adequado para atender a demanda, devidamente autorizado e, assinada pelo Fiscal do Contrato;</w:t>
      </w:r>
    </w:p>
    <w:p>
      <w:pPr>
        <w:pStyle w:val="Normal"/>
        <w:spacing w:lineRule="auto" w:line="360"/>
        <w:ind w:hanging="2" w:left="0"/>
        <w:jc w:val="both"/>
        <w:rPr>
          <w:sz w:val="22"/>
          <w:szCs w:val="22"/>
        </w:rPr>
      </w:pPr>
      <w:r>
        <w:rPr>
          <w:rFonts w:eastAsia="Merriweather"/>
          <w:sz w:val="22"/>
          <w:szCs w:val="22"/>
        </w:rPr>
        <w:t>Todos os custos para realização da entrega dos bens serão de responsabilidade da CONTRATADA e deverão constar na proposta de preços.</w:t>
      </w:r>
    </w:p>
    <w:p>
      <w:pPr>
        <w:pStyle w:val="Normal"/>
        <w:spacing w:lineRule="auto" w:line="360"/>
        <w:ind w:hanging="2" w:left="0"/>
        <w:jc w:val="both"/>
        <w:rPr>
          <w:b w:val="false"/>
          <w:bCs w:val="false"/>
          <w:sz w:val="22"/>
          <w:szCs w:val="22"/>
        </w:rPr>
      </w:pPr>
      <w:r>
        <w:rPr>
          <w:rFonts w:eastAsia="Merriweather"/>
          <w:b w:val="false"/>
          <w:bCs w:val="false"/>
          <w:sz w:val="22"/>
          <w:szCs w:val="22"/>
        </w:rPr>
        <w:t>Executar a entrega dentro dos parâmetros e rotinas estabelecidos, fornecendo todos os materiais, equipamentos e utensílios em quantidade, qualidade e tecnologia adequadas, com a observância às recomendações aceitas pela boa técnica, normas e legislação;</w:t>
      </w:r>
    </w:p>
    <w:p>
      <w:pPr>
        <w:pStyle w:val="Normal"/>
        <w:spacing w:lineRule="auto" w:line="360"/>
        <w:ind w:hanging="2" w:left="0"/>
        <w:jc w:val="both"/>
        <w:rPr>
          <w:sz w:val="22"/>
          <w:szCs w:val="22"/>
        </w:rPr>
      </w:pPr>
      <w:r>
        <w:rPr>
          <w:rFonts w:eastAsia="Merriweather"/>
          <w:sz w:val="22"/>
          <w:szCs w:val="22"/>
        </w:rPr>
        <w:t xml:space="preserve"> </w:t>
      </w:r>
      <w:r>
        <w:rPr>
          <w:rFonts w:eastAsia="Merriweather"/>
          <w:sz w:val="22"/>
          <w:szCs w:val="22"/>
        </w:rPr>
        <w:t>A CONTRATADA deverá designar por escrito, no ato do recebimento da Autorização de Serviços, preposto (s) que tenham poderes para resolução de possíveis ocorrências durante a execução;</w:t>
      </w:r>
    </w:p>
    <w:p>
      <w:pPr>
        <w:pStyle w:val="Normal"/>
        <w:spacing w:lineRule="auto" w:line="360"/>
        <w:ind w:hanging="2" w:left="0"/>
        <w:jc w:val="both"/>
        <w:rPr>
          <w:sz w:val="22"/>
          <w:szCs w:val="22"/>
        </w:rPr>
      </w:pPr>
      <w:r>
        <w:rPr>
          <w:rFonts w:eastAsia="Merriweather"/>
          <w:sz w:val="22"/>
          <w:szCs w:val="22"/>
        </w:rPr>
        <w:t>A CONTRATADA deverá responsabilizar-se pelos danos causados diretamente à Administração ou a terceiros, na forma do Art.120 da Lei 14.133/21, de 01 de abril de 2021 e suas alterações posteriores e ainda pelos encargos: trabalhistas, previdenciários, fiscais e comerciais resultantes da prestação de serviços.</w:t>
      </w:r>
    </w:p>
    <w:p>
      <w:pPr>
        <w:pStyle w:val="Normal"/>
        <w:spacing w:lineRule="auto" w:line="360"/>
        <w:ind w:hanging="2" w:left="0"/>
        <w:jc w:val="both"/>
        <w:rPr>
          <w:sz w:val="22"/>
          <w:szCs w:val="22"/>
        </w:rPr>
      </w:pPr>
      <w:r>
        <w:rPr>
          <w:rFonts w:eastAsia="Merriweather"/>
          <w:sz w:val="22"/>
          <w:szCs w:val="22"/>
        </w:rPr>
        <w:t>A CONTRATADA deverá prestar todos os esclarecimentos que lhe forem solicitados pela CONTRATANTE, atendendo prontamente a quaisquer reclamações.</w:t>
      </w:r>
    </w:p>
    <w:p>
      <w:pPr>
        <w:pStyle w:val="Normal"/>
        <w:spacing w:lineRule="auto" w:line="360"/>
        <w:ind w:hanging="2" w:left="0"/>
        <w:jc w:val="both"/>
        <w:rPr>
          <w:sz w:val="22"/>
          <w:szCs w:val="22"/>
        </w:rPr>
      </w:pPr>
      <w:r>
        <w:rPr>
          <w:rFonts w:eastAsia="Merriweather"/>
          <w:sz w:val="22"/>
          <w:szCs w:val="22"/>
        </w:rPr>
        <w:t>A CONTRATADA deverá responsabilizar-se pelos vícios e danos decorrentes do objeto, de acordo com os artigos 12, 13 e 17 a 27, do Código de Defesa do Consumidor (Lei nº 8.078, de 1990), ficando a Contratante autorizada a descontar dos pagamentos devidos à Contratada, o valor correspondente aos danos sofridos;</w:t>
      </w:r>
    </w:p>
    <w:p>
      <w:pPr>
        <w:pStyle w:val="Normal"/>
        <w:spacing w:lineRule="auto" w:line="360"/>
        <w:ind w:hanging="2" w:left="0"/>
        <w:jc w:val="both"/>
        <w:rPr>
          <w:sz w:val="22"/>
          <w:szCs w:val="22"/>
        </w:rPr>
      </w:pPr>
      <w:r>
        <w:rPr>
          <w:rFonts w:eastAsia="Merriweather"/>
          <w:sz w:val="22"/>
          <w:szCs w:val="22"/>
        </w:rPr>
        <w:t>Prazo de garantia do produto de 01 (um) ano contra defeitos de fabricação, fornecida pela empresa proponente, bem como as demais disposições do Código de Defesa ao Consumidor (Lei federal n. 8.078, de 11 de setembro de 1990).</w:t>
      </w:r>
    </w:p>
    <w:p>
      <w:pPr>
        <w:pStyle w:val="Normal"/>
        <w:spacing w:lineRule="auto" w:line="360"/>
        <w:ind w:hanging="2" w:left="0"/>
        <w:jc w:val="both"/>
        <w:rPr>
          <w:sz w:val="22"/>
          <w:szCs w:val="22"/>
        </w:rPr>
      </w:pPr>
      <w:r>
        <w:rPr>
          <w:rFonts w:eastAsia="Merriweather"/>
          <w:sz w:val="22"/>
          <w:szCs w:val="22"/>
        </w:rPr>
        <w:t>A garantia será prestada com vistas a manter o(s) produto(s) fornecidos em perfeitas condições de uso/consumo, sem qualquer ônus/custo adicional para o Município.</w:t>
      </w:r>
    </w:p>
    <w:p>
      <w:pPr>
        <w:pStyle w:val="Normal"/>
        <w:spacing w:lineRule="auto" w:line="360"/>
        <w:ind w:hanging="2" w:left="0"/>
        <w:jc w:val="both"/>
        <w:rPr>
          <w:sz w:val="22"/>
          <w:szCs w:val="22"/>
        </w:rPr>
      </w:pPr>
      <w:r>
        <w:rPr>
          <w:rFonts w:eastAsia="Merriweather"/>
          <w:sz w:val="22"/>
          <w:szCs w:val="22"/>
        </w:rPr>
        <w:t>A garantia abrange a realização da manutenção corretiva dos bens pelo próprio Contratado, ou, se for o caso, por meio de assistência técnica autorizada, de acordo com as normas técnicas específicas.</w:t>
      </w:r>
    </w:p>
    <w:p>
      <w:pPr>
        <w:pStyle w:val="Normal"/>
        <w:spacing w:lineRule="auto" w:line="360"/>
        <w:ind w:hanging="2" w:left="0"/>
        <w:jc w:val="both"/>
        <w:rPr>
          <w:sz w:val="22"/>
          <w:szCs w:val="22"/>
        </w:rPr>
      </w:pPr>
      <w:r>
        <w:rPr>
          <w:rFonts w:eastAsia="Merriweather"/>
          <w:sz w:val="22"/>
          <w:szCs w:val="22"/>
        </w:rPr>
        <w:t>Entende-se por manutenção corretiva aquela destinada a corrigir os defeitos apresentados pelos bens, compreendendo a substituição de peças, a realização de ajustes, reparos e correções necessárias.</w:t>
      </w:r>
    </w:p>
    <w:p>
      <w:pPr>
        <w:pStyle w:val="Normal"/>
        <w:spacing w:lineRule="auto" w:line="360"/>
        <w:ind w:hanging="2" w:left="0"/>
        <w:jc w:val="both"/>
        <w:rPr>
          <w:sz w:val="22"/>
          <w:szCs w:val="22"/>
        </w:rPr>
      </w:pPr>
      <w:r>
        <w:rPr>
          <w:rFonts w:eastAsia="Merriweather"/>
          <w:sz w:val="22"/>
          <w:szCs w:val="22"/>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pPr>
        <w:pStyle w:val="Normal"/>
        <w:spacing w:lineRule="auto" w:line="360"/>
        <w:ind w:hanging="2" w:left="0"/>
        <w:jc w:val="both"/>
        <w:rPr>
          <w:sz w:val="22"/>
          <w:szCs w:val="22"/>
        </w:rPr>
      </w:pPr>
      <w:r>
        <w:rPr>
          <w:rFonts w:eastAsia="Merriweather"/>
          <w:sz w:val="22"/>
          <w:szCs w:val="22"/>
        </w:rPr>
        <w:t>Uma vez notificado, o fornecedor realizará a reparação ou substituição dos bens que apresentarem vício ou defeito no prazo de até 15 (quinze) dias úteis, contados a partir da data de retirada do equipamento das dependências da Administração pelo fornecedor ou pela assistência técnica autorizada.</w:t>
      </w:r>
    </w:p>
    <w:p>
      <w:pPr>
        <w:pStyle w:val="Normal"/>
        <w:spacing w:lineRule="auto" w:line="360"/>
        <w:ind w:hanging="2" w:left="0"/>
        <w:jc w:val="both"/>
        <w:rPr>
          <w:sz w:val="22"/>
          <w:szCs w:val="22"/>
        </w:rPr>
      </w:pPr>
      <w:r>
        <w:rPr>
          <w:rFonts w:eastAsia="Merriweather"/>
          <w:sz w:val="22"/>
          <w:szCs w:val="22"/>
        </w:rPr>
        <w:t>O prazo indicado no subitem anterior, durante seu transcurso, poderá ser prorrogado uma única vez, por igual período, mediante solicitação escrita e justificada do Contratado, aceita pelo Contratante.</w:t>
      </w:r>
    </w:p>
    <w:p>
      <w:pPr>
        <w:pStyle w:val="Normal"/>
        <w:spacing w:lineRule="auto" w:line="360"/>
        <w:ind w:hanging="2" w:left="0"/>
        <w:jc w:val="both"/>
        <w:rPr>
          <w:sz w:val="22"/>
          <w:szCs w:val="22"/>
        </w:rPr>
      </w:pPr>
      <w:r>
        <w:rPr>
          <w:rFonts w:eastAsia="Merriweather"/>
          <w:sz w:val="22"/>
          <w:szCs w:val="22"/>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pPr>
        <w:pStyle w:val="Normal"/>
        <w:spacing w:lineRule="auto" w:line="360"/>
        <w:ind w:hanging="2" w:left="0"/>
        <w:jc w:val="both"/>
        <w:rPr>
          <w:sz w:val="22"/>
          <w:szCs w:val="22"/>
        </w:rPr>
      </w:pPr>
      <w:r>
        <w:rPr>
          <w:rFonts w:eastAsia="Merriweather"/>
          <w:sz w:val="22"/>
          <w:szCs w:val="22"/>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pPr>
        <w:pStyle w:val="Normal"/>
        <w:spacing w:lineRule="auto" w:line="360"/>
        <w:ind w:hanging="2" w:left="0"/>
        <w:jc w:val="both"/>
        <w:rPr>
          <w:sz w:val="22"/>
          <w:szCs w:val="22"/>
        </w:rPr>
      </w:pPr>
      <w:r>
        <w:rPr>
          <w:rFonts w:eastAsia="Merriweather"/>
          <w:sz w:val="22"/>
          <w:szCs w:val="22"/>
        </w:rPr>
        <w:t>O custo referente ao transporte dos equipamentos cobertos pela garantia será de responsabilidade do Contratado.</w:t>
      </w:r>
    </w:p>
    <w:p>
      <w:pPr>
        <w:pStyle w:val="Normal"/>
        <w:spacing w:lineRule="auto" w:line="360"/>
        <w:ind w:hanging="2" w:left="0"/>
        <w:jc w:val="both"/>
        <w:rPr>
          <w:sz w:val="22"/>
          <w:szCs w:val="22"/>
        </w:rPr>
      </w:pPr>
      <w:permStart w:id="545545069" w:edGrp="everyone_Copia_1"/>
      <w:r>
        <w:rPr>
          <w:rFonts w:eastAsia="Merriweather"/>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ermEnd w:id="545545069"/>
    </w:p>
    <w:p>
      <w:pPr>
        <w:pStyle w:val="Normal"/>
        <w:spacing w:lineRule="auto" w:line="360"/>
        <w:ind w:hanging="2" w:left="0"/>
        <w:jc w:val="both"/>
        <w:rPr>
          <w:sz w:val="22"/>
          <w:szCs w:val="22"/>
        </w:rPr>
      </w:pPr>
      <w:r>
        <w:rPr>
          <w:rFonts w:eastAsia="Merriweather"/>
          <w:sz w:val="22"/>
          <w:szCs w:val="22"/>
        </w:rPr>
        <w:t>Por quais quer responsabilidade decorrente de ações judiciais de terceiros, que lhe venham a ser exigidas por força de lei, ligadas ao cumprimento do presente Contrato;</w:t>
      </w:r>
    </w:p>
    <w:p>
      <w:pPr>
        <w:pStyle w:val="Normal"/>
        <w:spacing w:lineRule="auto" w:line="360"/>
        <w:ind w:hanging="2" w:left="0"/>
        <w:jc w:val="both"/>
        <w:rPr>
          <w:sz w:val="22"/>
          <w:szCs w:val="22"/>
        </w:rPr>
      </w:pPr>
      <w:r>
        <w:rPr>
          <w:sz w:val="22"/>
          <w:szCs w:val="22"/>
        </w:rPr>
      </w:r>
    </w:p>
    <w:p>
      <w:pPr>
        <w:pStyle w:val="Normal"/>
        <w:widowControl w:val="false"/>
        <w:spacing w:lineRule="auto" w:line="360"/>
        <w:ind w:hanging="2" w:left="0"/>
        <w:jc w:val="both"/>
        <w:rPr>
          <w:sz w:val="22"/>
          <w:szCs w:val="22"/>
        </w:rPr>
      </w:pPr>
      <w:r>
        <w:rPr>
          <w:b/>
          <w:bCs/>
          <w:sz w:val="22"/>
          <w:szCs w:val="22"/>
        </w:rPr>
        <w:t>12. ADMINISTRAÇÃO E MANUTENÇÃO DE EQUIPAMENTOS</w:t>
      </w:r>
      <w:r>
        <w:rPr>
          <w:b w:val="false"/>
          <w:bCs w:val="false"/>
          <w:sz w:val="22"/>
          <w:szCs w:val="22"/>
        </w:rPr>
        <w:t xml:space="preserve"> </w:t>
      </w:r>
    </w:p>
    <w:p>
      <w:pPr>
        <w:pStyle w:val="Normal"/>
        <w:spacing w:lineRule="auto" w:line="360"/>
        <w:ind w:hanging="2" w:left="0"/>
        <w:jc w:val="both"/>
        <w:rPr>
          <w:sz w:val="22"/>
          <w:szCs w:val="22"/>
        </w:rPr>
      </w:pPr>
      <w:r>
        <w:rPr>
          <w:rFonts w:eastAsia="Merriweather"/>
          <w:sz w:val="22"/>
          <w:szCs w:val="22"/>
        </w:rPr>
        <w:t>O contrato deverá ser executado fielmente pelas partes, de acordo com as cláusulas avençadas e as normas da Lei nº 14.133, de 2021 e cada parte responderá pelas consequências de sua inexecução total ou parcial.</w:t>
      </w:r>
    </w:p>
    <w:p>
      <w:pPr>
        <w:pStyle w:val="Normal"/>
        <w:spacing w:lineRule="auto" w:line="360"/>
        <w:ind w:hanging="2" w:left="0"/>
        <w:jc w:val="both"/>
        <w:rPr>
          <w:sz w:val="22"/>
          <w:szCs w:val="22"/>
        </w:rPr>
      </w:pPr>
      <w:r>
        <w:rPr>
          <w:rFonts w:eastAsia="Merriweather"/>
          <w:sz w:val="22"/>
          <w:szCs w:val="22"/>
        </w:rPr>
        <w:t>Deve ser atentado para o disposto do Decreto Municipal nº 3.537/2023, quanto as atribuições do gestor e fiscal do contrato.</w:t>
      </w:r>
    </w:p>
    <w:p>
      <w:pPr>
        <w:pStyle w:val="Normal"/>
        <w:spacing w:lineRule="auto" w:line="360"/>
        <w:ind w:hanging="2" w:left="0"/>
        <w:jc w:val="both"/>
        <w:rPr>
          <w:sz w:val="22"/>
          <w:szCs w:val="22"/>
        </w:rPr>
      </w:pPr>
      <w:r>
        <w:rPr>
          <w:rFonts w:eastAsia="Merriweather"/>
          <w:sz w:val="22"/>
          <w:szCs w:val="22"/>
        </w:rPr>
        <w:t xml:space="preserve">A execução do contrato deverá ser acompanhada e fiscalizada pelo </w:t>
      </w:r>
      <w:r>
        <w:rPr>
          <w:rFonts w:eastAsia="Merriweather"/>
          <w:b/>
          <w:bCs/>
          <w:sz w:val="22"/>
          <w:szCs w:val="22"/>
        </w:rPr>
        <w:t>fiscal do contrato</w:t>
      </w:r>
      <w:r>
        <w:rPr>
          <w:rFonts w:eastAsia="Merriweather"/>
          <w:sz w:val="22"/>
          <w:szCs w:val="22"/>
        </w:rPr>
        <w:t>, sendo ele: Sr. RENATO REIS DUARTE – Matrícula 1329.</w:t>
      </w:r>
    </w:p>
    <w:p>
      <w:pPr>
        <w:pStyle w:val="Normal"/>
        <w:spacing w:lineRule="auto" w:line="360"/>
        <w:ind w:hanging="2" w:left="0"/>
        <w:jc w:val="both"/>
        <w:rPr>
          <w:sz w:val="22"/>
          <w:szCs w:val="22"/>
        </w:rPr>
      </w:pPr>
      <w:r>
        <w:rPr>
          <w:rFonts w:eastAsia="Merriweather"/>
          <w:sz w:val="22"/>
          <w:szCs w:val="22"/>
        </w:rPr>
        <w:t xml:space="preserve">A </w:t>
      </w:r>
      <w:r>
        <w:rPr>
          <w:rFonts w:eastAsia="Merriweather"/>
          <w:b/>
          <w:bCs/>
          <w:sz w:val="22"/>
          <w:szCs w:val="22"/>
        </w:rPr>
        <w:t>gestão do contrato</w:t>
      </w:r>
      <w:r>
        <w:rPr>
          <w:rFonts w:eastAsia="Merriweather"/>
          <w:sz w:val="22"/>
          <w:szCs w:val="22"/>
        </w:rPr>
        <w:t xml:space="preserve"> deverá ser realizada pela Sra. CAMILA DIAS RAMALHO MATTA, Secretária da Agricultura e Pecuária– Portaria 14.842/2025.</w:t>
      </w:r>
    </w:p>
    <w:p>
      <w:pPr>
        <w:pStyle w:val="Normal"/>
        <w:spacing w:lineRule="auto" w:line="360"/>
        <w:ind w:hanging="2" w:left="0"/>
        <w:jc w:val="both"/>
        <w:rPr>
          <w:sz w:val="22"/>
          <w:szCs w:val="22"/>
        </w:rPr>
      </w:pPr>
      <w:r>
        <w:rPr>
          <w:sz w:val="22"/>
          <w:szCs w:val="22"/>
        </w:rPr>
      </w:r>
    </w:p>
    <w:p>
      <w:pPr>
        <w:pStyle w:val="Normal"/>
        <w:widowControl w:val="false"/>
        <w:spacing w:lineRule="auto" w:line="360"/>
        <w:ind w:hanging="2" w:left="0"/>
        <w:jc w:val="both"/>
        <w:rPr>
          <w:b w:val="false"/>
          <w:bCs w:val="false"/>
          <w:sz w:val="22"/>
          <w:szCs w:val="22"/>
        </w:rPr>
      </w:pPr>
      <w:r>
        <w:rPr>
          <w:b/>
          <w:bCs/>
          <w:sz w:val="22"/>
          <w:szCs w:val="22"/>
        </w:rPr>
        <w:t>13. MONITORAMENTO E AVALIAÇÃO DA EXECUÇÃO</w:t>
      </w:r>
      <w:r>
        <w:rPr>
          <w:b w:val="false"/>
          <w:bCs w:val="false"/>
          <w:sz w:val="22"/>
          <w:szCs w:val="22"/>
        </w:rPr>
        <w:t xml:space="preserve"> </w:t>
      </w:r>
    </w:p>
    <w:p>
      <w:pPr>
        <w:pStyle w:val="Normal"/>
        <w:widowControl w:val="false"/>
        <w:spacing w:lineRule="auto" w:line="360"/>
        <w:ind w:hanging="2" w:left="0"/>
        <w:jc w:val="both"/>
        <w:rPr>
          <w:sz w:val="22"/>
          <w:szCs w:val="22"/>
        </w:rPr>
      </w:pPr>
      <w:r>
        <w:rPr>
          <w:rFonts w:eastAsia="Merriweather"/>
          <w:sz w:val="22"/>
          <w:szCs w:val="22"/>
        </w:rPr>
        <w:t>O bem será recebido provisoriamente, de forma sumária, no ato da entrega, acompanhado da nota fiscal ou instrumento de cobrança equivalente, pelo responsável pelo acompanhamento e fiscalização do contrato, para efeito de posterior verificação de sua conformidade com as especificações constantes no Termo de Referência</w:t>
      </w:r>
      <w:r>
        <w:rPr>
          <w:rFonts w:eastAsia="Merriweather"/>
          <w:color w:val="FF0000"/>
          <w:sz w:val="22"/>
          <w:szCs w:val="22"/>
        </w:rPr>
        <w:t xml:space="preserve"> </w:t>
      </w:r>
      <w:r>
        <w:rPr>
          <w:rFonts w:eastAsia="Merriweather"/>
          <w:sz w:val="22"/>
          <w:szCs w:val="22"/>
        </w:rPr>
        <w:t>e na proposta.</w:t>
      </w:r>
    </w:p>
    <w:p>
      <w:pPr>
        <w:pStyle w:val="Normal"/>
        <w:spacing w:lineRule="auto" w:line="360"/>
        <w:ind w:hanging="2" w:left="0"/>
        <w:jc w:val="both"/>
        <w:rPr>
          <w:sz w:val="22"/>
          <w:szCs w:val="22"/>
        </w:rPr>
      </w:pPr>
      <w:r>
        <w:rPr>
          <w:rFonts w:eastAsia="Merriweather"/>
          <w:sz w:val="22"/>
          <w:szCs w:val="22"/>
        </w:rPr>
        <w:t xml:space="preserve">A avaliação da execução do objeto utilizará o relatório denominado – parâmetros de fiscalização, devendo haver a notificação a empresa para que solucione possíveis inconsistências, sempre que a CONTRATADA: </w:t>
      </w:r>
    </w:p>
    <w:p>
      <w:pPr>
        <w:pStyle w:val="Normal"/>
        <w:spacing w:lineRule="auto" w:line="360"/>
        <w:ind w:firstLine="720" w:left="0"/>
        <w:jc w:val="both"/>
        <w:rPr>
          <w:sz w:val="22"/>
          <w:szCs w:val="22"/>
        </w:rPr>
      </w:pPr>
      <w:r>
        <w:rPr>
          <w:rFonts w:eastAsia="Merriweather"/>
          <w:sz w:val="22"/>
          <w:szCs w:val="22"/>
        </w:rPr>
        <w:t xml:space="preserve">a) não produzir os resultados, deixar de executar, ou não executar com a qualidade mínima exigida as atividades contratadas; ou </w:t>
      </w:r>
    </w:p>
    <w:p>
      <w:pPr>
        <w:pStyle w:val="Normal"/>
        <w:spacing w:lineRule="auto" w:line="360"/>
        <w:ind w:firstLine="720" w:left="0"/>
        <w:jc w:val="both"/>
        <w:rPr>
          <w:sz w:val="22"/>
          <w:szCs w:val="22"/>
        </w:rPr>
      </w:pPr>
      <w:r>
        <w:rPr>
          <w:rFonts w:eastAsia="Merriweather"/>
          <w:sz w:val="22"/>
          <w:szCs w:val="22"/>
        </w:rPr>
        <w:t>b) deixar de utilizar materiais e recursos humanos exigidos para a execução, ou utilizá-los com qualidade ou quantidade inferior à demandada.</w:t>
      </w:r>
    </w:p>
    <w:p>
      <w:pPr>
        <w:pStyle w:val="Normal"/>
        <w:spacing w:lineRule="auto" w:line="360"/>
        <w:ind w:hanging="0" w:left="0"/>
        <w:jc w:val="both"/>
        <w:rPr>
          <w:sz w:val="22"/>
          <w:szCs w:val="22"/>
        </w:rPr>
      </w:pPr>
      <w:r>
        <w:rPr>
          <w:rFonts w:eastAsia="Merriweather"/>
          <w:sz w:val="22"/>
          <w:szCs w:val="22"/>
        </w:rPr>
        <w:t>A utilização do, parâmetros de fiscalização não impede a aplicação concomitante de outros mecanismos para a avaliação da execução.</w:t>
      </w:r>
    </w:p>
    <w:p>
      <w:pPr>
        <w:pStyle w:val="Normal"/>
        <w:spacing w:lineRule="auto" w:line="360"/>
        <w:ind w:hanging="2" w:left="0"/>
        <w:jc w:val="both"/>
        <w:rPr>
          <w:sz w:val="22"/>
          <w:szCs w:val="22"/>
        </w:rPr>
      </w:pPr>
      <w:r>
        <w:rPr>
          <w:rFonts w:eastAsia="Merriweather"/>
          <w:sz w:val="22"/>
          <w:szCs w:val="22"/>
        </w:rPr>
        <w:t>O bem poderá ser rejeitado, no todo ou em parte, inclusive antes do recebimento provisório, quando em desacordo com as especificações constantes no Termo de Referência</w:t>
      </w:r>
      <w:r>
        <w:rPr>
          <w:rFonts w:eastAsia="Merriweather"/>
          <w:color w:val="FF0000"/>
          <w:sz w:val="22"/>
          <w:szCs w:val="22"/>
        </w:rPr>
        <w:t xml:space="preserve"> </w:t>
      </w:r>
      <w:r>
        <w:rPr>
          <w:rFonts w:eastAsia="Merriweather"/>
          <w:sz w:val="22"/>
          <w:szCs w:val="22"/>
        </w:rPr>
        <w:t xml:space="preserve">e na proposta, devendo ser substituídos no prazo de </w:t>
      </w:r>
      <w:permStart w:id="310055443" w:edGrp="everyone_Copia_1_Copia_1"/>
      <w:r>
        <w:rPr>
          <w:rFonts w:eastAsia="Merriweather"/>
          <w:color w:themeColor="text1" w:val="000000"/>
          <w:sz w:val="22"/>
          <w:szCs w:val="22"/>
        </w:rPr>
        <w:t xml:space="preserve">15 (quinze) </w:t>
      </w:r>
      <w:r>
        <w:rPr>
          <w:rFonts w:eastAsia="Merriweather"/>
          <w:sz w:val="22"/>
          <w:szCs w:val="22"/>
        </w:rPr>
        <w:t>dias, a contar da notificação da contratada, às suas custas, sem prejuízo da aplicação das penalidades.</w:t>
      </w:r>
      <w:permEnd w:id="310055443"/>
    </w:p>
    <w:p>
      <w:pPr>
        <w:pStyle w:val="Normal"/>
        <w:spacing w:lineRule="auto" w:line="360"/>
        <w:ind w:hanging="2" w:left="0"/>
        <w:jc w:val="both"/>
        <w:rPr>
          <w:sz w:val="22"/>
          <w:szCs w:val="22"/>
        </w:rPr>
      </w:pPr>
      <w:r>
        <w:rPr>
          <w:rFonts w:eastAsia="Merriweather"/>
          <w:sz w:val="22"/>
          <w:szCs w:val="22"/>
        </w:rPr>
        <w:t xml:space="preserve">O recebimento definitivo ocorrerá no prazo </w:t>
      </w:r>
      <w:r>
        <w:rPr>
          <w:rFonts w:eastAsia="Merriweather"/>
          <w:color w:themeColor="text1" w:val="000000"/>
          <w:sz w:val="22"/>
          <w:szCs w:val="22"/>
        </w:rPr>
        <w:t xml:space="preserve">de </w:t>
      </w:r>
      <w:permStart w:id="1669676028" w:edGrp="everyone_Copia_1_Copia_1"/>
      <w:r>
        <w:rPr>
          <w:rFonts w:eastAsia="Merriweather"/>
          <w:color w:themeColor="text1" w:val="000000"/>
          <w:sz w:val="22"/>
          <w:szCs w:val="22"/>
        </w:rPr>
        <w:t xml:space="preserve">10 (dez) dias úteis, </w:t>
      </w:r>
      <w:r>
        <w:rPr>
          <w:rFonts w:eastAsia="Merriweather"/>
          <w:sz w:val="22"/>
          <w:szCs w:val="22"/>
        </w:rPr>
        <w:t xml:space="preserve">a contar do recebimento da nota fiscal ou instrumento de cobrança equivalente pela Administração, após a verificação da qualidade e quantidade do material/serviço e consequente aceitação mediante termo detalhado. </w:t>
      </w:r>
      <w:permEnd w:id="1669676028"/>
    </w:p>
    <w:p>
      <w:pPr>
        <w:pStyle w:val="Normal"/>
        <w:spacing w:lineRule="auto" w:line="360"/>
        <w:ind w:hanging="2" w:left="0"/>
        <w:jc w:val="both"/>
        <w:rPr>
          <w:sz w:val="22"/>
          <w:szCs w:val="22"/>
        </w:rPr>
      </w:pPr>
      <w:r>
        <w:rPr>
          <w:rFonts w:eastAsia="Merriweather"/>
          <w:sz w:val="22"/>
          <w:szCs w:val="22"/>
        </w:rPr>
        <w:t>O prazo para recebimento definitivo poderá ser excepcionalmente prorrogado, de forma justificada, por igual período, quando houver necessidade de diligências para a aferição do atendimento das exigências contratuais.</w:t>
      </w:r>
    </w:p>
    <w:p>
      <w:pPr>
        <w:pStyle w:val="Normal"/>
        <w:spacing w:lineRule="auto" w:line="360"/>
        <w:ind w:hanging="2" w:left="0"/>
        <w:jc w:val="both"/>
        <w:rPr>
          <w:sz w:val="22"/>
          <w:szCs w:val="22"/>
        </w:rPr>
      </w:pPr>
      <w:r>
        <w:rPr>
          <w:rFonts w:eastAsia="Merriweather"/>
          <w:sz w:val="22"/>
          <w:szCs w:val="22"/>
        </w:rPr>
        <w:t>No caso de controvérsia sobre a execução do objeto, quanto à dimensão, qualidade e quantidade, deverá ser observado o teor do § 4º, do art. 39 do Decreto Municipal nº. 3537, de 09 de maio de 2023, comunicando-se à empresa para emissão de Nota Fiscal no que pertence à parcela incontroversa da execução do objeto, para efeito de liquidação e pagamento.</w:t>
      </w:r>
    </w:p>
    <w:p>
      <w:pPr>
        <w:pStyle w:val="Normal"/>
        <w:spacing w:lineRule="auto" w:line="360"/>
        <w:ind w:hanging="2" w:left="0"/>
        <w:jc w:val="both"/>
        <w:rPr>
          <w:sz w:val="22"/>
          <w:szCs w:val="22"/>
        </w:rPr>
      </w:pPr>
      <w:r>
        <w:rPr>
          <w:rFonts w:eastAsia="Merriweather"/>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ormal"/>
        <w:spacing w:lineRule="auto" w:line="360"/>
        <w:ind w:hanging="2" w:left="0"/>
        <w:jc w:val="both"/>
        <w:rPr>
          <w:sz w:val="22"/>
          <w:szCs w:val="22"/>
        </w:rPr>
      </w:pPr>
      <w:r>
        <w:rPr>
          <w:rFonts w:eastAsia="Merriweather"/>
          <w:sz w:val="22"/>
          <w:szCs w:val="22"/>
        </w:rPr>
        <w:t>O recebimento provisório ou definitivo não excluirá a responsabilidade civil pela solidez e pela segurança do serviço nem a responsabilidade ético-profissional pela perfeita execução do contrato.</w:t>
      </w:r>
    </w:p>
    <w:p>
      <w:pPr>
        <w:pStyle w:val="Normal"/>
        <w:spacing w:lineRule="auto" w:line="360"/>
        <w:ind w:hanging="2" w:left="0"/>
        <w:jc w:val="both"/>
        <w:rPr>
          <w:sz w:val="22"/>
          <w:szCs w:val="22"/>
        </w:rPr>
      </w:pPr>
      <w:r>
        <w:rPr>
          <w:rFonts w:eastAsia="Merriweather"/>
          <w:sz w:val="22"/>
          <w:szCs w:val="22"/>
        </w:rPr>
        <w:t>Recebida a Nota Fiscal ou documento de cobrança equivalente, correrá o prazo de dez dias úteis para fins de liquidação, na forma desta seção, prorrogáveis por igual período, conforme a legislação aplicável.</w:t>
      </w:r>
    </w:p>
    <w:p>
      <w:pPr>
        <w:pStyle w:val="Normal"/>
        <w:spacing w:lineRule="auto" w:line="360"/>
        <w:ind w:hanging="2" w:left="0"/>
        <w:jc w:val="both"/>
        <w:rPr/>
      </w:pPr>
      <w:r>
        <w:rPr>
          <w:rFonts w:eastAsia="Merriweather"/>
          <w:sz w:val="22"/>
          <w:szCs w:val="22"/>
        </w:rPr>
        <w:t>O prazo de que trata o item anterior será reduzido à metade, mantendo-se a possibilidade de prorrogação, no caso de contratações decorrentes de despesas cujos valores não ultrapassem o limite de que trata o</w:t>
      </w:r>
      <w:r>
        <w:fldChar w:fldCharType="begin"/>
      </w:r>
      <w:r>
        <w:rPr>
          <w:rStyle w:val="Style3"/>
          <w:sz w:val="22"/>
          <w:szCs w:val="22"/>
          <w:rFonts w:eastAsia="Merriweather"/>
        </w:rPr>
        <w:instrText xml:space="preserve"> HYPERLINK "http://www.planalto.gov.br/ccivil_03/_ato2019-2022/2021/lei/L14133.htm" \l "art75"</w:instrText>
      </w:r>
      <w:r>
        <w:rPr>
          <w:rStyle w:val="Style3"/>
          <w:sz w:val="22"/>
          <w:szCs w:val="22"/>
          <w:rFonts w:eastAsia="Merriweather"/>
        </w:rPr>
        <w:fldChar w:fldCharType="separate"/>
      </w:r>
      <w:r>
        <w:rPr>
          <w:rStyle w:val="Style3"/>
          <w:rFonts w:eastAsia="Merriweather"/>
          <w:sz w:val="22"/>
          <w:szCs w:val="22"/>
        </w:rPr>
        <w:t xml:space="preserve"> </w:t>
      </w:r>
      <w:r>
        <w:rPr>
          <w:rStyle w:val="Style3"/>
          <w:sz w:val="22"/>
          <w:szCs w:val="22"/>
          <w:rFonts w:eastAsia="Merriweather"/>
        </w:rPr>
        <w:fldChar w:fldCharType="end"/>
      </w:r>
      <w:r>
        <w:fldChar w:fldCharType="begin"/>
      </w:r>
      <w:r>
        <w:rPr>
          <w:rStyle w:val="Style3"/>
          <w:sz w:val="22"/>
          <w:szCs w:val="22"/>
          <w:rFonts w:eastAsia="Merriweather"/>
        </w:rPr>
        <w:instrText xml:space="preserve"> HYPERLINK "http://www.planalto.gov.br/ccivil_03/_ato2019-2022/2021/lei/L14133.htm" \l "art75"</w:instrText>
      </w:r>
      <w:r>
        <w:rPr>
          <w:rStyle w:val="Style3"/>
          <w:sz w:val="22"/>
          <w:szCs w:val="22"/>
          <w:rFonts w:eastAsia="Merriweather"/>
        </w:rPr>
        <w:fldChar w:fldCharType="separate"/>
      </w:r>
      <w:r>
        <w:rPr>
          <w:rStyle w:val="Style3"/>
          <w:rFonts w:eastAsia="Merriweather"/>
          <w:sz w:val="22"/>
          <w:szCs w:val="22"/>
        </w:rPr>
        <w:t>inciso II do art. 160 do Decreto Municipal nº 3735, de 09 de maio de 202</w:t>
      </w:r>
      <w:r>
        <w:rPr>
          <w:rStyle w:val="Style3"/>
          <w:sz w:val="22"/>
          <w:szCs w:val="22"/>
          <w:rFonts w:eastAsia="Merriweather"/>
        </w:rPr>
        <w:fldChar w:fldCharType="end"/>
      </w:r>
      <w:r>
        <w:rPr>
          <w:rFonts w:eastAsia="Merriweather"/>
          <w:sz w:val="22"/>
          <w:szCs w:val="22"/>
        </w:rPr>
        <w:t>3.</w:t>
      </w:r>
    </w:p>
    <w:p>
      <w:pPr>
        <w:pStyle w:val="Normal"/>
        <w:widowControl w:val="false"/>
        <w:spacing w:lineRule="auto" w:line="360"/>
        <w:ind w:hanging="2" w:left="0"/>
        <w:jc w:val="both"/>
        <w:rPr>
          <w:sz w:val="22"/>
          <w:szCs w:val="22"/>
        </w:rPr>
      </w:pPr>
      <w:r>
        <w:rPr>
          <w:b/>
          <w:bCs/>
          <w:sz w:val="22"/>
          <w:szCs w:val="22"/>
        </w:rPr>
        <w:t>14. DO PAGAMENTO</w:t>
      </w:r>
    </w:p>
    <w:p>
      <w:pPr>
        <w:pStyle w:val="Normal"/>
        <w:spacing w:lineRule="auto" w:line="360"/>
        <w:ind w:hanging="2" w:left="0"/>
        <w:jc w:val="both"/>
        <w:rPr>
          <w:sz w:val="22"/>
          <w:szCs w:val="22"/>
        </w:rPr>
      </w:pPr>
      <w:r>
        <w:rPr>
          <w:rFonts w:eastAsia="Merriweather"/>
          <w:sz w:val="22"/>
          <w:szCs w:val="22"/>
        </w:rPr>
        <w:t>Os bens serão recebidos provisoriamente, de forma sumária, no ato da entrega, acompanhado da nota fiscal ou instrumento de cobrança equivalente, pelo responsável pelo acompanhamento e fiscalização do contrato, para efeito de posterior verificação de sua conformidade com as especificações constantes no Termo de Referência</w:t>
      </w:r>
      <w:r>
        <w:rPr>
          <w:rFonts w:eastAsia="Merriweather"/>
          <w:color w:val="FF0000"/>
          <w:sz w:val="22"/>
          <w:szCs w:val="22"/>
        </w:rPr>
        <w:t xml:space="preserve"> </w:t>
      </w:r>
      <w:r>
        <w:rPr>
          <w:rFonts w:eastAsia="Merriweather"/>
          <w:sz w:val="22"/>
          <w:szCs w:val="22"/>
        </w:rPr>
        <w:t>e na proposta.</w:t>
      </w:r>
    </w:p>
    <w:p>
      <w:pPr>
        <w:pStyle w:val="Normal"/>
        <w:spacing w:lineRule="auto" w:line="360"/>
        <w:ind w:hanging="2" w:left="0"/>
        <w:jc w:val="both"/>
        <w:rPr>
          <w:sz w:val="22"/>
          <w:szCs w:val="22"/>
        </w:rPr>
      </w:pPr>
      <w:r>
        <w:rPr>
          <w:rFonts w:eastAsia="Merriweather"/>
          <w:sz w:val="22"/>
          <w:szCs w:val="22"/>
        </w:rPr>
        <w:t xml:space="preserve">A avaliação da execução do objeto utilizará o relatório denominado – parâmetros de fiscalização, devendo haver a notificação a empresa para que solucione possíveis inconsistências, sempre que a CONTRATADA: </w:t>
      </w:r>
    </w:p>
    <w:p>
      <w:pPr>
        <w:pStyle w:val="Normal"/>
        <w:spacing w:lineRule="auto" w:line="360"/>
        <w:ind w:firstLine="720" w:left="0"/>
        <w:jc w:val="both"/>
        <w:rPr>
          <w:sz w:val="22"/>
          <w:szCs w:val="22"/>
        </w:rPr>
      </w:pPr>
      <w:r>
        <w:rPr>
          <w:rFonts w:eastAsia="Merriweather"/>
          <w:sz w:val="22"/>
          <w:szCs w:val="22"/>
        </w:rPr>
        <w:t xml:space="preserve">a) não produzir os resultados, deixar de executar, ou não executar com a qualidade mínima exigida as atividades contratadas; ou </w:t>
      </w:r>
    </w:p>
    <w:p>
      <w:pPr>
        <w:pStyle w:val="Normal"/>
        <w:spacing w:lineRule="auto" w:line="360"/>
        <w:ind w:firstLine="720" w:left="0"/>
        <w:jc w:val="both"/>
        <w:rPr>
          <w:sz w:val="22"/>
          <w:szCs w:val="22"/>
        </w:rPr>
      </w:pPr>
      <w:r>
        <w:rPr>
          <w:rFonts w:eastAsia="Merriweather"/>
          <w:sz w:val="22"/>
          <w:szCs w:val="22"/>
        </w:rPr>
        <w:t>b) deixar de utilizar materiais e recursos humanos exigidos para a execução, ou utilizá-los com qualidade ou quantidade inferior à demandada.</w:t>
      </w:r>
    </w:p>
    <w:p>
      <w:pPr>
        <w:pStyle w:val="Normal"/>
        <w:spacing w:lineRule="auto" w:line="360"/>
        <w:ind w:hanging="0" w:left="0"/>
        <w:jc w:val="both"/>
        <w:rPr>
          <w:sz w:val="22"/>
          <w:szCs w:val="22"/>
        </w:rPr>
      </w:pPr>
      <w:r>
        <w:rPr>
          <w:rFonts w:eastAsia="Merriweather"/>
          <w:sz w:val="22"/>
          <w:szCs w:val="22"/>
        </w:rPr>
        <w:t>A utilização do, parâmetros de fiscalização não impede a aplicação concomitante de outros mecanismos para a avaliação da execução.</w:t>
      </w:r>
    </w:p>
    <w:p>
      <w:pPr>
        <w:pStyle w:val="Normal"/>
        <w:spacing w:lineRule="auto" w:line="360"/>
        <w:ind w:hanging="2" w:left="0"/>
        <w:jc w:val="both"/>
        <w:rPr>
          <w:sz w:val="22"/>
          <w:szCs w:val="22"/>
        </w:rPr>
      </w:pPr>
      <w:r>
        <w:rPr>
          <w:rFonts w:eastAsia="Merriweather"/>
          <w:sz w:val="22"/>
          <w:szCs w:val="22"/>
        </w:rPr>
        <w:t>Os bens poderão ser rejeitados, no todo ou em parte, inclusive antes do recebimento provisório, quando em desacordo com as especificações constantes no Termo de Referência</w:t>
      </w:r>
      <w:r>
        <w:rPr>
          <w:rFonts w:eastAsia="Merriweather"/>
          <w:color w:val="FF0000"/>
          <w:sz w:val="22"/>
          <w:szCs w:val="22"/>
        </w:rPr>
        <w:t xml:space="preserve"> </w:t>
      </w:r>
      <w:r>
        <w:rPr>
          <w:rFonts w:eastAsia="Merriweather"/>
          <w:sz w:val="22"/>
          <w:szCs w:val="22"/>
        </w:rPr>
        <w:t xml:space="preserve">e na proposta, devendo ser substituídos no prazo de </w:t>
      </w:r>
      <w:permStart w:id="310055443" w:edGrp="everyone"/>
      <w:r>
        <w:rPr>
          <w:rFonts w:eastAsia="Merriweather"/>
          <w:color w:themeColor="text1" w:val="000000"/>
          <w:sz w:val="22"/>
          <w:szCs w:val="22"/>
        </w:rPr>
        <w:t xml:space="preserve">15 (quinze) </w:t>
      </w:r>
      <w:r>
        <w:rPr>
          <w:rFonts w:eastAsia="Merriweather"/>
          <w:sz w:val="22"/>
          <w:szCs w:val="22"/>
        </w:rPr>
        <w:t>dias, a contar da notificação da contratada, às suas custas, sem prejuízo da aplicação das penalidades.</w:t>
      </w:r>
      <w:permEnd w:id="310055443"/>
    </w:p>
    <w:p>
      <w:pPr>
        <w:pStyle w:val="Normal"/>
        <w:spacing w:lineRule="auto" w:line="360"/>
        <w:ind w:hanging="2" w:left="0"/>
        <w:jc w:val="both"/>
        <w:rPr>
          <w:sz w:val="22"/>
          <w:szCs w:val="22"/>
        </w:rPr>
      </w:pPr>
      <w:r>
        <w:rPr>
          <w:rFonts w:eastAsia="Merriweather"/>
          <w:sz w:val="22"/>
          <w:szCs w:val="22"/>
        </w:rPr>
        <w:t xml:space="preserve">O recebimento definitivo ocorrerá no prazo </w:t>
      </w:r>
      <w:r>
        <w:rPr>
          <w:rFonts w:eastAsia="Merriweather"/>
          <w:color w:themeColor="text1" w:val="000000"/>
          <w:sz w:val="22"/>
          <w:szCs w:val="22"/>
        </w:rPr>
        <w:t xml:space="preserve">de </w:t>
      </w:r>
      <w:permStart w:id="1669676028" w:edGrp="everyone"/>
      <w:r>
        <w:rPr>
          <w:rFonts w:eastAsia="Merriweather"/>
          <w:color w:themeColor="text1" w:val="000000"/>
          <w:sz w:val="22"/>
          <w:szCs w:val="22"/>
        </w:rPr>
        <w:t xml:space="preserve">10 (dez) dias úteis, </w:t>
      </w:r>
      <w:r>
        <w:rPr>
          <w:rFonts w:eastAsia="Merriweather"/>
          <w:sz w:val="22"/>
          <w:szCs w:val="22"/>
        </w:rPr>
        <w:t xml:space="preserve">a contar do recebimento da nota fiscal ou instrumento de cobrança equivalente pela Administração, após a verificação da qualidade e quantidade do material/serviço e consequente aceitação mediante termo detalhado. </w:t>
      </w:r>
      <w:permEnd w:id="1669676028"/>
    </w:p>
    <w:p>
      <w:pPr>
        <w:pStyle w:val="Normal"/>
        <w:spacing w:lineRule="auto" w:line="360"/>
        <w:ind w:hanging="2" w:left="0"/>
        <w:jc w:val="both"/>
        <w:rPr>
          <w:sz w:val="22"/>
          <w:szCs w:val="22"/>
        </w:rPr>
      </w:pPr>
      <w:r>
        <w:rPr>
          <w:rFonts w:eastAsia="Merriweather"/>
          <w:sz w:val="22"/>
          <w:szCs w:val="22"/>
        </w:rPr>
        <w:t>O prazo para recebimento definitivo poderá ser excepcionalmente prorrogado, de forma justificada, por igual período, quando houver necessidade de diligências para a aferição do atendimento das exigências contratuais.</w:t>
      </w:r>
    </w:p>
    <w:p>
      <w:pPr>
        <w:pStyle w:val="Normal"/>
        <w:spacing w:lineRule="auto" w:line="360"/>
        <w:ind w:hanging="2" w:left="0"/>
        <w:jc w:val="both"/>
        <w:rPr>
          <w:sz w:val="22"/>
          <w:szCs w:val="22"/>
        </w:rPr>
      </w:pPr>
      <w:r>
        <w:rPr>
          <w:rFonts w:eastAsia="Merriweather"/>
          <w:sz w:val="22"/>
          <w:szCs w:val="22"/>
        </w:rPr>
        <w:t>No caso de controvérsia sobre a execução do objeto, quanto à dimensão, qualidade e quantidade, deverá ser observado o teor do § 4º, do art. 39 do Decreto Municipal nº. 3537, de 09 de maio de 2023, comunicando-se à empresa para emissão de Nota Fiscal no que pertence à parcela incontroversa da execução do objeto, para efeito de liquidação e pagamento.</w:t>
      </w:r>
    </w:p>
    <w:p>
      <w:pPr>
        <w:pStyle w:val="Normal"/>
        <w:spacing w:lineRule="auto" w:line="360"/>
        <w:ind w:hanging="2" w:left="0"/>
        <w:jc w:val="both"/>
        <w:rPr>
          <w:sz w:val="22"/>
          <w:szCs w:val="22"/>
        </w:rPr>
      </w:pPr>
      <w:r>
        <w:rPr>
          <w:rFonts w:eastAsia="Merriweather"/>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ormal"/>
        <w:spacing w:lineRule="auto" w:line="360"/>
        <w:ind w:hanging="2" w:left="0"/>
        <w:jc w:val="both"/>
        <w:rPr>
          <w:sz w:val="22"/>
          <w:szCs w:val="22"/>
        </w:rPr>
      </w:pPr>
      <w:r>
        <w:rPr>
          <w:rFonts w:eastAsia="Merriweather"/>
          <w:sz w:val="22"/>
          <w:szCs w:val="22"/>
        </w:rPr>
        <w:t>O recebimento provisório ou definitivo não excluirá a responsabilidade civil pela solidez e pela segurança do serviço nem a responsabilidade ético-profissional pela perfeita execução do contrato.</w:t>
      </w:r>
    </w:p>
    <w:p>
      <w:pPr>
        <w:pStyle w:val="Normal"/>
        <w:spacing w:lineRule="auto" w:line="360"/>
        <w:ind w:hanging="2" w:left="0"/>
        <w:jc w:val="both"/>
        <w:rPr>
          <w:sz w:val="22"/>
          <w:szCs w:val="22"/>
        </w:rPr>
      </w:pPr>
      <w:r>
        <w:rPr>
          <w:rFonts w:eastAsia="Merriweather"/>
          <w:sz w:val="22"/>
          <w:szCs w:val="22"/>
        </w:rPr>
        <w:t>Recebida a Nota Fiscal ou documento de cobrança equivalente, correrá o prazo de dez dias úteis para fins de liquidação, na forma desta seção, prorrogáveis por igual período, conforme a legislação aplicável.</w:t>
      </w:r>
    </w:p>
    <w:p>
      <w:pPr>
        <w:pStyle w:val="Normal"/>
        <w:spacing w:lineRule="auto" w:line="360"/>
        <w:ind w:hanging="2" w:left="0"/>
        <w:jc w:val="both"/>
        <w:rPr/>
      </w:pPr>
      <w:r>
        <w:rPr>
          <w:rFonts w:eastAsia="Merriweather"/>
          <w:sz w:val="22"/>
          <w:szCs w:val="22"/>
        </w:rPr>
        <w:t>O prazo de que trata o item anterior será reduzido à metade, mantendo-se a possibilidade de prorrogação, no caso de contratações decorrentes de despesas cujos valores não ultrapassem o limite de que trata o</w:t>
      </w:r>
      <w:r>
        <w:fldChar w:fldCharType="begin"/>
      </w:r>
      <w:r>
        <w:rPr>
          <w:rStyle w:val="Style3"/>
          <w:sz w:val="22"/>
          <w:szCs w:val="22"/>
          <w:rFonts w:eastAsia="Merriweather"/>
        </w:rPr>
        <w:instrText xml:space="preserve"> HYPERLINK "http://www.planalto.gov.br/ccivil_03/_ato2019-2022/2021/lei/L14133.htm" \l "art75"</w:instrText>
      </w:r>
      <w:r>
        <w:rPr>
          <w:rStyle w:val="Style3"/>
          <w:sz w:val="22"/>
          <w:szCs w:val="22"/>
          <w:rFonts w:eastAsia="Merriweather"/>
        </w:rPr>
        <w:fldChar w:fldCharType="separate"/>
      </w:r>
      <w:r>
        <w:rPr>
          <w:rStyle w:val="Style3"/>
          <w:rFonts w:eastAsia="Merriweather"/>
          <w:sz w:val="22"/>
          <w:szCs w:val="22"/>
        </w:rPr>
        <w:t xml:space="preserve"> </w:t>
      </w:r>
      <w:r>
        <w:rPr>
          <w:rStyle w:val="Style3"/>
          <w:sz w:val="22"/>
          <w:szCs w:val="22"/>
          <w:rFonts w:eastAsia="Merriweather"/>
        </w:rPr>
        <w:fldChar w:fldCharType="end"/>
      </w:r>
      <w:r>
        <w:fldChar w:fldCharType="begin"/>
      </w:r>
      <w:r>
        <w:rPr>
          <w:rStyle w:val="Style3"/>
          <w:sz w:val="22"/>
          <w:szCs w:val="22"/>
          <w:rFonts w:eastAsia="Merriweather"/>
        </w:rPr>
        <w:instrText xml:space="preserve"> HYPERLINK "http://www.planalto.gov.br/ccivil_03/_ato2019-2022/2021/lei/L14133.htm" \l "art75"</w:instrText>
      </w:r>
      <w:r>
        <w:rPr>
          <w:rStyle w:val="Style3"/>
          <w:sz w:val="22"/>
          <w:szCs w:val="22"/>
          <w:rFonts w:eastAsia="Merriweather"/>
        </w:rPr>
        <w:fldChar w:fldCharType="separate"/>
      </w:r>
      <w:r>
        <w:rPr>
          <w:rStyle w:val="Style3"/>
          <w:rFonts w:eastAsia="Merriweather"/>
          <w:sz w:val="22"/>
          <w:szCs w:val="22"/>
        </w:rPr>
        <w:t>inciso II do art. 160 do Decreto Municipal nº 3735, de 09 de maio de 202</w:t>
      </w:r>
      <w:r>
        <w:rPr>
          <w:rStyle w:val="Style3"/>
          <w:sz w:val="22"/>
          <w:szCs w:val="22"/>
          <w:rFonts w:eastAsia="Merriweather"/>
        </w:rPr>
        <w:fldChar w:fldCharType="end"/>
      </w:r>
      <w:r>
        <w:rPr>
          <w:rFonts w:eastAsia="Merriweather"/>
          <w:sz w:val="22"/>
          <w:szCs w:val="22"/>
        </w:rPr>
        <w:t>3.</w:t>
      </w:r>
    </w:p>
    <w:p>
      <w:pPr>
        <w:pStyle w:val="Normal"/>
        <w:spacing w:lineRule="auto" w:line="360"/>
        <w:ind w:hanging="2" w:left="0"/>
        <w:jc w:val="both"/>
        <w:rPr>
          <w:sz w:val="22"/>
          <w:szCs w:val="22"/>
        </w:rPr>
      </w:pPr>
      <w:r>
        <w:rPr>
          <w:rFonts w:eastAsia="Merriweather"/>
          <w:sz w:val="22"/>
          <w:szCs w:val="22"/>
        </w:rPr>
        <w:t>Para fins de liquidação, o setor competente deverá verificar se a nota fiscal ou instrumento de cobrança equivalente apresentado expressa os elementos necessários e essenciais do documento, tais como:</w:t>
      </w:r>
    </w:p>
    <w:p>
      <w:pPr>
        <w:pStyle w:val="Normal"/>
        <w:spacing w:lineRule="auto" w:line="360"/>
        <w:ind w:firstLine="1" w:left="850"/>
        <w:jc w:val="both"/>
        <w:rPr>
          <w:sz w:val="22"/>
          <w:szCs w:val="22"/>
        </w:rPr>
      </w:pPr>
      <w:r>
        <w:rPr>
          <w:rFonts w:eastAsia="Arial"/>
          <w:sz w:val="22"/>
          <w:szCs w:val="22"/>
        </w:rPr>
        <w:t>a)</w:t>
      </w:r>
      <w:r>
        <w:rPr>
          <w:sz w:val="22"/>
          <w:szCs w:val="22"/>
        </w:rPr>
        <w:t xml:space="preserve"> </w:t>
      </w:r>
      <w:r>
        <w:rPr>
          <w:rFonts w:eastAsia="Arial"/>
          <w:sz w:val="22"/>
          <w:szCs w:val="22"/>
        </w:rPr>
        <w:t>o prazo de validade;</w:t>
      </w:r>
    </w:p>
    <w:p>
      <w:pPr>
        <w:pStyle w:val="Normal"/>
        <w:spacing w:lineRule="auto" w:line="360"/>
        <w:ind w:firstLine="1" w:left="850"/>
        <w:jc w:val="both"/>
        <w:rPr>
          <w:sz w:val="22"/>
          <w:szCs w:val="22"/>
        </w:rPr>
      </w:pPr>
      <w:r>
        <w:rPr>
          <w:rFonts w:eastAsia="Arial"/>
          <w:sz w:val="22"/>
          <w:szCs w:val="22"/>
        </w:rPr>
        <w:t>b)</w:t>
      </w:r>
      <w:r>
        <w:rPr>
          <w:sz w:val="22"/>
          <w:szCs w:val="22"/>
        </w:rPr>
        <w:t xml:space="preserve"> </w:t>
      </w:r>
      <w:r>
        <w:rPr>
          <w:rFonts w:eastAsia="Arial"/>
          <w:sz w:val="22"/>
          <w:szCs w:val="22"/>
        </w:rPr>
        <w:t>a data da emissão;</w:t>
      </w:r>
    </w:p>
    <w:p>
      <w:pPr>
        <w:pStyle w:val="Normal"/>
        <w:spacing w:lineRule="auto" w:line="360"/>
        <w:ind w:firstLine="1" w:left="850"/>
        <w:jc w:val="both"/>
        <w:rPr>
          <w:sz w:val="22"/>
          <w:szCs w:val="22"/>
        </w:rPr>
      </w:pPr>
      <w:r>
        <w:rPr>
          <w:rFonts w:eastAsia="Arial"/>
          <w:sz w:val="22"/>
          <w:szCs w:val="22"/>
        </w:rPr>
        <w:t>c)</w:t>
      </w:r>
      <w:r>
        <w:rPr>
          <w:sz w:val="22"/>
          <w:szCs w:val="22"/>
        </w:rPr>
        <w:t xml:space="preserve"> o</w:t>
      </w:r>
      <w:r>
        <w:rPr>
          <w:rFonts w:eastAsia="Arial"/>
          <w:sz w:val="22"/>
          <w:szCs w:val="22"/>
        </w:rPr>
        <w:t>s dados do contrato e do órgão contratante;</w:t>
      </w:r>
    </w:p>
    <w:p>
      <w:pPr>
        <w:pStyle w:val="Normal"/>
        <w:spacing w:lineRule="auto" w:line="360"/>
        <w:ind w:firstLine="1" w:left="850"/>
        <w:jc w:val="both"/>
        <w:rPr>
          <w:sz w:val="22"/>
          <w:szCs w:val="22"/>
        </w:rPr>
      </w:pPr>
      <w:r>
        <w:rPr>
          <w:rFonts w:eastAsia="Arial"/>
          <w:sz w:val="22"/>
          <w:szCs w:val="22"/>
        </w:rPr>
        <w:t>d)</w:t>
      </w:r>
      <w:r>
        <w:rPr>
          <w:sz w:val="22"/>
          <w:szCs w:val="22"/>
        </w:rPr>
        <w:t xml:space="preserve"> </w:t>
      </w:r>
      <w:r>
        <w:rPr>
          <w:rFonts w:eastAsia="Arial"/>
          <w:sz w:val="22"/>
          <w:szCs w:val="22"/>
        </w:rPr>
        <w:t>período respectivo de execução do contrato;</w:t>
      </w:r>
    </w:p>
    <w:p>
      <w:pPr>
        <w:pStyle w:val="Normal"/>
        <w:spacing w:lineRule="auto" w:line="360"/>
        <w:ind w:firstLine="1" w:left="850"/>
        <w:jc w:val="both"/>
        <w:rPr>
          <w:sz w:val="22"/>
          <w:szCs w:val="22"/>
        </w:rPr>
      </w:pPr>
      <w:r>
        <w:rPr>
          <w:rFonts w:eastAsia="Arial"/>
          <w:sz w:val="22"/>
          <w:szCs w:val="22"/>
        </w:rPr>
        <w:t>e)</w:t>
      </w:r>
      <w:r>
        <w:rPr>
          <w:sz w:val="22"/>
          <w:szCs w:val="22"/>
        </w:rPr>
        <w:t xml:space="preserve"> </w:t>
      </w:r>
      <w:r>
        <w:rPr>
          <w:rFonts w:eastAsia="Arial"/>
          <w:sz w:val="22"/>
          <w:szCs w:val="22"/>
        </w:rPr>
        <w:t>o valor a pagar; e</w:t>
      </w:r>
    </w:p>
    <w:p>
      <w:pPr>
        <w:pStyle w:val="Normal"/>
        <w:spacing w:lineRule="auto" w:line="360"/>
        <w:ind w:firstLine="1" w:left="850"/>
        <w:jc w:val="both"/>
        <w:rPr>
          <w:sz w:val="22"/>
          <w:szCs w:val="22"/>
        </w:rPr>
      </w:pPr>
      <w:r>
        <w:rPr>
          <w:rFonts w:eastAsia="Arial"/>
          <w:sz w:val="22"/>
          <w:szCs w:val="22"/>
        </w:rPr>
        <w:t>f)</w:t>
      </w:r>
      <w:r>
        <w:rPr>
          <w:sz w:val="22"/>
          <w:szCs w:val="22"/>
        </w:rPr>
        <w:t xml:space="preserve"> </w:t>
      </w:r>
      <w:r>
        <w:rPr>
          <w:rFonts w:eastAsia="Arial"/>
          <w:sz w:val="22"/>
          <w:szCs w:val="22"/>
        </w:rPr>
        <w:t>eventual destaque do valor de retenções tributárias cabíveis.</w:t>
      </w:r>
    </w:p>
    <w:p>
      <w:pPr>
        <w:pStyle w:val="Normal"/>
        <w:spacing w:lineRule="auto" w:line="360"/>
        <w:ind w:hanging="2" w:left="0"/>
        <w:jc w:val="both"/>
        <w:rPr>
          <w:sz w:val="22"/>
          <w:szCs w:val="22"/>
        </w:rPr>
      </w:pPr>
      <w:r>
        <w:rPr>
          <w:rFonts w:eastAsia="Merriweather"/>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spacing w:lineRule="auto" w:line="360"/>
        <w:ind w:hanging="2" w:left="0"/>
        <w:jc w:val="both"/>
        <w:rPr/>
      </w:pPr>
      <w:r>
        <w:rPr>
          <w:rFonts w:eastAsia="Merriweather"/>
          <w:sz w:val="22"/>
          <w:szCs w:val="22"/>
        </w:rPr>
        <w:t xml:space="preserve">A nota fiscal ou instrumento de cobrança equivalente deverá ser obrigatoriamente acompanhado da comprovação da regularidade fiscal, constatada por meio de consulta </w:t>
      </w:r>
      <w:r>
        <w:rPr>
          <w:rFonts w:eastAsia="Merriweather"/>
          <w:i/>
          <w:sz w:val="22"/>
          <w:szCs w:val="22"/>
        </w:rPr>
        <w:t>on-line</w:t>
      </w:r>
      <w:r>
        <w:rPr>
          <w:rFonts w:eastAsia="Merriweather"/>
          <w:sz w:val="22"/>
          <w:szCs w:val="22"/>
        </w:rPr>
        <w:t xml:space="preserve"> ao SICAF ou, na impossibilidade de acesso ao referido Sistema, mediante consulta aos sítios eletrônicos oficiais ou à documentação mencionada no</w:t>
      </w:r>
      <w:r>
        <w:fldChar w:fldCharType="begin"/>
      </w:r>
      <w:r>
        <w:rPr>
          <w:rStyle w:val="Style3"/>
          <w:sz w:val="22"/>
          <w:szCs w:val="22"/>
          <w:rFonts w:eastAsia="Merriweather"/>
        </w:rPr>
        <w:instrText xml:space="preserve"> HYPERLINK "http://www.planalto.gov.br/ccivil_03/_ato2019-2022/2021/lei/L14133.htm" \l "art68"</w:instrText>
      </w:r>
      <w:r>
        <w:rPr>
          <w:rStyle w:val="Style3"/>
          <w:sz w:val="22"/>
          <w:szCs w:val="22"/>
          <w:rFonts w:eastAsia="Merriweather"/>
        </w:rPr>
        <w:fldChar w:fldCharType="separate"/>
      </w:r>
      <w:r>
        <w:rPr>
          <w:rStyle w:val="Style3"/>
          <w:rFonts w:eastAsia="Merriweather"/>
          <w:sz w:val="22"/>
          <w:szCs w:val="22"/>
        </w:rPr>
        <w:t xml:space="preserve"> </w:t>
      </w:r>
      <w:r>
        <w:rPr>
          <w:rStyle w:val="Style3"/>
          <w:sz w:val="22"/>
          <w:szCs w:val="22"/>
          <w:rFonts w:eastAsia="Merriweather"/>
        </w:rPr>
        <w:fldChar w:fldCharType="end"/>
      </w:r>
      <w:r>
        <w:fldChar w:fldCharType="begin"/>
      </w:r>
      <w:r>
        <w:rPr>
          <w:rStyle w:val="Style3"/>
          <w:sz w:val="22"/>
          <w:u w:val="single"/>
          <w:szCs w:val="22"/>
          <w:rFonts w:eastAsia="Merriweather"/>
          <w:color w:val="1155CC"/>
        </w:rPr>
        <w:instrText xml:space="preserve"> HYPERLINK "http://www.planalto.gov.br/ccivil_03/_ato2019-2022/2021/lei/L14133.htm" \l "art68"</w:instrText>
      </w:r>
      <w:r>
        <w:rPr>
          <w:rStyle w:val="Style3"/>
          <w:sz w:val="22"/>
          <w:u w:val="single"/>
          <w:szCs w:val="22"/>
          <w:rFonts w:eastAsia="Merriweather"/>
          <w:color w:val="1155CC"/>
        </w:rPr>
        <w:fldChar w:fldCharType="separate"/>
      </w:r>
      <w:r>
        <w:rPr>
          <w:rStyle w:val="Style3"/>
          <w:rFonts w:eastAsia="Merriweather"/>
          <w:color w:val="1155CC"/>
          <w:sz w:val="22"/>
          <w:szCs w:val="22"/>
          <w:u w:val="single"/>
        </w:rPr>
        <w:t>art. 68 da Lei nº 14.133, de 2021.</w:t>
      </w:r>
      <w:r>
        <w:rPr>
          <w:rStyle w:val="Style3"/>
          <w:sz w:val="22"/>
          <w:u w:val="single"/>
          <w:szCs w:val="22"/>
          <w:rFonts w:eastAsia="Merriweather"/>
          <w:color w:val="1155CC"/>
        </w:rPr>
        <w:fldChar w:fldCharType="end"/>
      </w:r>
    </w:p>
    <w:p>
      <w:pPr>
        <w:pStyle w:val="Normal"/>
        <w:spacing w:lineRule="auto" w:line="360"/>
        <w:ind w:hanging="2" w:left="0"/>
        <w:jc w:val="both"/>
        <w:rPr>
          <w:sz w:val="22"/>
          <w:szCs w:val="22"/>
        </w:rPr>
      </w:pPr>
      <w:r>
        <w:rPr>
          <w:rFonts w:eastAsia="Merriweather"/>
          <w:sz w:val="22"/>
          <w:szCs w:val="22"/>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pPr>
        <w:pStyle w:val="Normal"/>
        <w:spacing w:lineRule="auto" w:line="360"/>
        <w:ind w:hanging="2" w:left="0"/>
        <w:jc w:val="both"/>
        <w:rPr>
          <w:sz w:val="22"/>
          <w:szCs w:val="22"/>
        </w:rPr>
      </w:pPr>
      <w:r>
        <w:rPr>
          <w:rFonts w:eastAsia="Merriweather"/>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ormal"/>
        <w:spacing w:lineRule="auto" w:line="360"/>
        <w:ind w:hanging="2" w:left="0"/>
        <w:jc w:val="both"/>
        <w:rPr>
          <w:sz w:val="22"/>
          <w:szCs w:val="22"/>
        </w:rPr>
      </w:pPr>
      <w:r>
        <w:rPr>
          <w:rFonts w:eastAsia="Merriweather"/>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spacing w:lineRule="auto" w:line="360"/>
        <w:ind w:hanging="2" w:left="0"/>
        <w:jc w:val="both"/>
        <w:rPr>
          <w:sz w:val="22"/>
          <w:szCs w:val="22"/>
        </w:rPr>
      </w:pPr>
      <w:r>
        <w:rPr>
          <w:rFonts w:eastAsia="Merriweather"/>
          <w:sz w:val="22"/>
          <w:szCs w:val="22"/>
        </w:rPr>
        <w:t>Persistindo a irregularidade, o contratante deverá adotar as medidas necessárias à rescisão contratual nos autos do processo administrativo correspondente, assegurada ao contratado a ampla defesa.</w:t>
      </w:r>
    </w:p>
    <w:p>
      <w:pPr>
        <w:pStyle w:val="Normal"/>
        <w:spacing w:lineRule="auto" w:line="360"/>
        <w:ind w:hanging="2" w:left="0"/>
        <w:jc w:val="both"/>
        <w:rPr>
          <w:sz w:val="22"/>
          <w:szCs w:val="22"/>
        </w:rPr>
      </w:pPr>
      <w:r>
        <w:rPr>
          <w:rFonts w:eastAsia="Merriweather"/>
          <w:sz w:val="22"/>
          <w:szCs w:val="22"/>
        </w:rPr>
        <w:t xml:space="preserve">Havendo a efetiva execução do objeto, os pagamentos serão realizados normalmente, até que se decida pela rescisão do contrato, caso o contratado não regularize sua situação junto ao SICAF. </w:t>
      </w:r>
    </w:p>
    <w:p>
      <w:pPr>
        <w:pStyle w:val="Normal"/>
        <w:spacing w:lineRule="auto" w:line="360"/>
        <w:ind w:hanging="2" w:left="0"/>
        <w:jc w:val="both"/>
        <w:rPr>
          <w:sz w:val="22"/>
          <w:szCs w:val="22"/>
        </w:rPr>
      </w:pPr>
      <w:r>
        <w:rPr>
          <w:rFonts w:eastAsia="Merriweather"/>
          <w:sz w:val="22"/>
          <w:szCs w:val="22"/>
        </w:rPr>
        <w:t>O pagamento será efetuado no prazo de até 30 (trinta) dias contados a partir do atesto da Nota Fiscal, conforme o art. 35, parágrafo único do Decreto nº 3.537, de 09 de maio de 2023.</w:t>
      </w:r>
    </w:p>
    <w:p>
      <w:pPr>
        <w:pStyle w:val="Normal"/>
        <w:spacing w:lineRule="auto" w:line="360"/>
        <w:ind w:hanging="2" w:left="0"/>
        <w:jc w:val="both"/>
        <w:rPr>
          <w:sz w:val="22"/>
          <w:szCs w:val="22"/>
        </w:rPr>
      </w:pPr>
      <w:r>
        <w:rPr>
          <w:rFonts w:eastAsia="Merriweather"/>
          <w:sz w:val="22"/>
          <w:szCs w:val="22"/>
        </w:rPr>
        <w:t>No caso de atraso pelo Contratante, os valores devidos ao contratado serão atualizados monetariamente entre o termo final do prazo de pagamento até a data de sua efetiva realização, mediante aplicação do índice</w:t>
      </w:r>
      <w:permStart w:id="1358505370" w:edGrp="everyone"/>
      <w:r>
        <w:rPr>
          <w:rFonts w:eastAsia="Merriweather"/>
          <w:sz w:val="22"/>
          <w:szCs w:val="22"/>
        </w:rPr>
        <w:t xml:space="preserve"> </w:t>
      </w:r>
      <w:r>
        <w:rPr>
          <w:rFonts w:eastAsia="Merriweather"/>
          <w:color w:themeColor="text1" w:val="000000"/>
          <w:sz w:val="22"/>
          <w:szCs w:val="22"/>
        </w:rPr>
        <w:t>INPC</w:t>
      </w:r>
      <w:r>
        <w:rPr>
          <w:rFonts w:eastAsia="Merriweather"/>
          <w:sz w:val="22"/>
          <w:szCs w:val="22"/>
        </w:rPr>
        <w:t xml:space="preserve"> de correção monetária. </w:t>
      </w:r>
      <w:permEnd w:id="1358505370"/>
    </w:p>
    <w:p>
      <w:pPr>
        <w:pStyle w:val="Normal"/>
        <w:spacing w:lineRule="auto" w:line="360"/>
        <w:ind w:hanging="2" w:left="0"/>
        <w:jc w:val="both"/>
        <w:rPr>
          <w:sz w:val="22"/>
          <w:szCs w:val="22"/>
        </w:rPr>
      </w:pPr>
      <w:r>
        <w:rPr>
          <w:rFonts w:eastAsia="Merriweather"/>
          <w:sz w:val="22"/>
          <w:szCs w:val="22"/>
        </w:rPr>
        <w:t>O pagamento será realizado por meio de ordem bancária, para crédito em banco, agência e conta correntes indicadas pelo contratado, por OBTV, através da plataforma transferegov.</w:t>
      </w:r>
    </w:p>
    <w:p>
      <w:pPr>
        <w:pStyle w:val="Normal"/>
        <w:spacing w:lineRule="auto" w:line="360"/>
        <w:ind w:hanging="2" w:left="0"/>
        <w:jc w:val="both"/>
        <w:rPr>
          <w:sz w:val="22"/>
          <w:szCs w:val="22"/>
        </w:rPr>
      </w:pPr>
      <w:r>
        <w:rPr>
          <w:rFonts w:eastAsia="Merriweather"/>
          <w:sz w:val="22"/>
          <w:szCs w:val="22"/>
        </w:rPr>
        <w:t>Será considerada data do pagamento o dia em que constar como emitida a ordem bancária para pagamento.</w:t>
      </w:r>
    </w:p>
    <w:p>
      <w:pPr>
        <w:pStyle w:val="Normal"/>
        <w:spacing w:lineRule="auto" w:line="360"/>
        <w:ind w:hanging="2" w:left="0"/>
        <w:jc w:val="both"/>
        <w:rPr>
          <w:sz w:val="22"/>
          <w:szCs w:val="22"/>
        </w:rPr>
      </w:pPr>
      <w:r>
        <w:rPr>
          <w:rFonts w:eastAsia="Merriweather"/>
          <w:sz w:val="22"/>
          <w:szCs w:val="22"/>
        </w:rPr>
        <w:t>Quando do pagamento, será efetuada a retenção tributária prevista na legislação aplicável.</w:t>
      </w:r>
    </w:p>
    <w:p>
      <w:pPr>
        <w:pStyle w:val="Normal"/>
        <w:spacing w:lineRule="auto" w:line="360"/>
        <w:ind w:hanging="2" w:left="0"/>
        <w:jc w:val="both"/>
        <w:rPr>
          <w:sz w:val="22"/>
          <w:szCs w:val="22"/>
        </w:rPr>
      </w:pPr>
      <w:r>
        <w:rPr>
          <w:rFonts w:eastAsia="Merriweather"/>
          <w:sz w:val="22"/>
          <w:szCs w:val="22"/>
        </w:rPr>
        <w:t xml:space="preserve">Independentemente do percentual de tributo inserido na planilha, quando houver, serão retidos na fonte, quando da realização do pagamento, os percentuais estabelecidos na legislação vigente. </w:t>
      </w:r>
    </w:p>
    <w:p>
      <w:pPr>
        <w:pStyle w:val="Normal"/>
        <w:spacing w:lineRule="auto" w:line="360"/>
        <w:ind w:hanging="2" w:left="0"/>
        <w:jc w:val="both"/>
        <w:rPr/>
      </w:pPr>
      <w:r>
        <w:rPr>
          <w:rFonts w:eastAsia="Merriweather"/>
          <w:sz w:val="22"/>
          <w:szCs w:val="22"/>
        </w:rPr>
        <w:t>O contratado regularmente optante pelo Simples Nacional, nos termos da</w:t>
      </w:r>
      <w:hyperlink r:id="rId8">
        <w:r>
          <w:rPr>
            <w:rStyle w:val="Style3"/>
            <w:rFonts w:eastAsia="Merriweather"/>
            <w:sz w:val="22"/>
            <w:szCs w:val="22"/>
          </w:rPr>
          <w:t xml:space="preserve"> </w:t>
        </w:r>
      </w:hyperlink>
      <w:hyperlink r:id="rId9">
        <w:r>
          <w:rPr>
            <w:rStyle w:val="Style3"/>
            <w:rFonts w:eastAsia="Merriweather"/>
            <w:color w:val="1155CC"/>
            <w:sz w:val="22"/>
            <w:szCs w:val="22"/>
            <w:u w:val="single"/>
          </w:rPr>
          <w:t>Lei Complementar nº 123, de 2006</w:t>
        </w:r>
      </w:hyperlink>
      <w:r>
        <w:rPr>
          <w:rFonts w:eastAsia="Merriweather"/>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360"/>
        <w:ind w:hanging="2" w:left="0"/>
        <w:jc w:val="both"/>
        <w:rPr>
          <w:sz w:val="22"/>
          <w:szCs w:val="22"/>
        </w:rPr>
      </w:pPr>
      <w:r>
        <w:rPr>
          <w:rFonts w:eastAsia="Merriweather"/>
          <w:sz w:val="22"/>
          <w:szCs w:val="22"/>
        </w:rPr>
        <w:t>A presente contratação não permite a antecipação de pagamento.</w:t>
      </w:r>
    </w:p>
    <w:p>
      <w:pPr>
        <w:pStyle w:val="Normal"/>
        <w:spacing w:lineRule="auto" w:line="360"/>
        <w:ind w:hanging="2" w:left="0"/>
        <w:jc w:val="both"/>
        <w:rPr>
          <w:rFonts w:eastAsia="Merriweather"/>
        </w:rPr>
      </w:pPr>
      <w:r>
        <w:rPr>
          <w:rFonts w:eastAsia="Merriweather"/>
        </w:rPr>
      </w:r>
    </w:p>
    <w:p>
      <w:pPr>
        <w:pStyle w:val="Normal"/>
        <w:widowControl w:val="false"/>
        <w:spacing w:lineRule="auto" w:line="360"/>
        <w:ind w:hanging="2" w:left="0"/>
        <w:jc w:val="both"/>
        <w:rPr>
          <w:b w:val="false"/>
          <w:bCs w:val="false"/>
          <w:sz w:val="22"/>
          <w:szCs w:val="22"/>
          <w:u w:val="none"/>
        </w:rPr>
      </w:pPr>
      <w:r>
        <w:rPr>
          <w:b/>
          <w:bCs/>
          <w:sz w:val="22"/>
          <w:szCs w:val="22"/>
          <w:u w:val="none"/>
        </w:rPr>
        <w:t>15. DO REAJUSTE</w:t>
      </w:r>
      <w:r>
        <w:rPr>
          <w:b w:val="false"/>
          <w:bCs w:val="false"/>
          <w:sz w:val="22"/>
          <w:szCs w:val="22"/>
          <w:u w:val="none"/>
        </w:rPr>
        <w:t xml:space="preserve"> Deverá observar os requisitos constantes no artigo 25, parágrafos 7º e 8º, inciso III, Título II, Capítulo II, Seção I- Da Instrução do Processo Licitatório, da Lei n°14.133, de 1º de abril de 2021.</w:t>
      </w:r>
    </w:p>
    <w:p>
      <w:pPr>
        <w:pStyle w:val="Normal"/>
        <w:widowControl w:val="false"/>
        <w:spacing w:lineRule="auto" w:line="360"/>
        <w:ind w:hanging="2" w:left="0"/>
        <w:jc w:val="both"/>
        <w:rPr>
          <w:b w:val="false"/>
          <w:bCs w:val="false"/>
          <w:sz w:val="22"/>
          <w:szCs w:val="22"/>
          <w:u w:val="none"/>
        </w:rPr>
      </w:pPr>
      <w:r>
        <w:rPr>
          <w:b w:val="false"/>
          <w:bCs w:val="false"/>
          <w:sz w:val="22"/>
          <w:szCs w:val="22"/>
          <w:u w:val="none"/>
        </w:rPr>
        <w:t>NÃO SE APLICA.</w:t>
      </w:r>
    </w:p>
    <w:p>
      <w:pPr>
        <w:pStyle w:val="Normal"/>
        <w:widowControl w:val="false"/>
        <w:spacing w:lineRule="auto" w:line="360"/>
        <w:ind w:hanging="2" w:left="0"/>
        <w:jc w:val="both"/>
        <w:rPr>
          <w:rFonts w:eastAsia="Merriweather"/>
          <w:b/>
          <w:bCs/>
        </w:rPr>
      </w:pPr>
      <w:r>
        <w:rPr>
          <w:rFonts w:eastAsia="Merriweather"/>
          <w:b/>
          <w:bCs/>
        </w:rPr>
      </w:r>
    </w:p>
    <w:p>
      <w:pPr>
        <w:pStyle w:val="Normal"/>
        <w:widowControl w:val="false"/>
        <w:spacing w:lineRule="auto" w:line="360"/>
        <w:ind w:hanging="2" w:left="0"/>
        <w:jc w:val="both"/>
        <w:rPr>
          <w:sz w:val="22"/>
          <w:szCs w:val="22"/>
          <w:u w:val="none"/>
        </w:rPr>
      </w:pPr>
      <w:r>
        <w:rPr>
          <w:rFonts w:eastAsia="Merriweather"/>
          <w:b/>
          <w:bCs/>
          <w:sz w:val="22"/>
          <w:szCs w:val="22"/>
          <w:u w:val="none"/>
        </w:rPr>
        <w:t xml:space="preserve">16. DA GARANTIA DA EXECUÇÃO </w:t>
      </w:r>
    </w:p>
    <w:p>
      <w:pPr>
        <w:pStyle w:val="Normal"/>
        <w:spacing w:lineRule="auto" w:line="360"/>
        <w:ind w:hanging="2" w:left="0"/>
        <w:jc w:val="both"/>
        <w:rPr>
          <w:sz w:val="22"/>
          <w:szCs w:val="22"/>
          <w:u w:val="none"/>
        </w:rPr>
      </w:pPr>
      <w:r>
        <w:rPr>
          <w:rFonts w:eastAsia="Merriweather"/>
          <w:sz w:val="22"/>
          <w:szCs w:val="22"/>
          <w:u w:val="none"/>
        </w:rPr>
        <w:t>N</w:t>
      </w:r>
      <w:permStart w:id="510009546" w:edGrp="everyone_Copia_1"/>
      <w:r>
        <w:rPr>
          <w:rFonts w:eastAsia="Merriweather"/>
          <w:sz w:val="22"/>
          <w:szCs w:val="22"/>
          <w:u w:val="none"/>
        </w:rPr>
        <w:t>ão haverá exigência de garantia contratual da execução, motivo pelo qual não será permitido pagamento antecipado, parcial ou total, relativo a parcelas contratuais vinculadas à prestação de serviços objeto da presente contratação.</w:t>
      </w:r>
      <w:permEnd w:id="510009546"/>
    </w:p>
    <w:p>
      <w:pPr>
        <w:pStyle w:val="Normal"/>
        <w:spacing w:lineRule="auto" w:line="360"/>
        <w:ind w:hanging="2" w:left="0"/>
        <w:jc w:val="both"/>
        <w:rPr>
          <w:rFonts w:eastAsia="Merriweather"/>
        </w:rPr>
      </w:pPr>
      <w:r>
        <w:rPr>
          <w:rFonts w:eastAsia="Merriweather"/>
        </w:rPr>
      </w:r>
    </w:p>
    <w:p>
      <w:pPr>
        <w:pStyle w:val="Normal"/>
        <w:widowControl w:val="false"/>
        <w:spacing w:lineRule="auto" w:line="360"/>
        <w:ind w:hanging="2" w:left="0"/>
        <w:jc w:val="both"/>
        <w:rPr>
          <w:sz w:val="22"/>
          <w:szCs w:val="22"/>
          <w:u w:val="none"/>
        </w:rPr>
      </w:pPr>
      <w:r>
        <w:rPr>
          <w:rFonts w:eastAsia="Merriweather"/>
          <w:b/>
          <w:bCs/>
          <w:sz w:val="22"/>
          <w:szCs w:val="22"/>
          <w:u w:val="none"/>
        </w:rPr>
        <w:t>17. CRONOGRAMA DE DESEMBOLSO</w:t>
      </w:r>
      <w:r>
        <w:rPr>
          <w:rFonts w:eastAsia="Merriweather"/>
          <w:b w:val="false"/>
          <w:bCs w:val="false"/>
          <w:sz w:val="22"/>
          <w:szCs w:val="22"/>
          <w:u w:val="none"/>
        </w:rPr>
        <w:t xml:space="preserve"> </w:t>
      </w:r>
    </w:p>
    <w:p>
      <w:pPr>
        <w:pStyle w:val="Normal"/>
        <w:spacing w:lineRule="auto" w:line="360"/>
        <w:ind w:hanging="0" w:left="-2"/>
        <w:jc w:val="both"/>
        <w:rPr>
          <w:sz w:val="22"/>
          <w:szCs w:val="22"/>
        </w:rPr>
      </w:pPr>
      <w:r>
        <w:rPr>
          <w:sz w:val="22"/>
          <w:szCs w:val="22"/>
        </w:rPr>
        <w:t xml:space="preserve">Após o recebimento do recurso por parte do Ministério, o pagamento das obrigações aqui contratadas observará a ordem cronológica de exigibilidade, nos termos do art. 141 da Lei nº 14.133/2021, cujos prazos serão limitados a: </w:t>
      </w:r>
    </w:p>
    <w:p>
      <w:pPr>
        <w:pStyle w:val="Normal"/>
        <w:spacing w:lineRule="auto" w:line="360"/>
        <w:ind w:hanging="0" w:left="720"/>
        <w:jc w:val="both"/>
        <w:rPr>
          <w:sz w:val="22"/>
          <w:szCs w:val="22"/>
        </w:rPr>
      </w:pPr>
      <w:r>
        <w:rPr>
          <w:sz w:val="22"/>
          <w:szCs w:val="22"/>
        </w:rPr>
        <w:t xml:space="preserve">a) 30 (trinta dias) úteis para a liquidação da despesa, a contar do recebimento da Nota Fiscal ou instrumento de cobrança equivalente pela Administração; e </w:t>
      </w:r>
    </w:p>
    <w:p>
      <w:pPr>
        <w:pStyle w:val="Normal"/>
        <w:spacing w:lineRule="auto" w:line="360"/>
        <w:ind w:hanging="0" w:left="720"/>
        <w:jc w:val="both"/>
        <w:rPr>
          <w:sz w:val="22"/>
          <w:szCs w:val="22"/>
        </w:rPr>
      </w:pPr>
      <w:r>
        <w:rPr>
          <w:rFonts w:eastAsia="Merriweather"/>
          <w:b w:val="false"/>
          <w:bCs w:val="false"/>
          <w:sz w:val="22"/>
          <w:szCs w:val="22"/>
        </w:rPr>
        <w:t>b) 30 (trinta dias) úteis para pagamento, a contar da liquidação da despesa.</w:t>
      </w:r>
    </w:p>
    <w:p>
      <w:pPr>
        <w:pStyle w:val="Normal"/>
        <w:widowControl w:val="false"/>
        <w:spacing w:lineRule="auto" w:line="360"/>
        <w:ind w:hanging="2" w:left="0"/>
        <w:jc w:val="both"/>
        <w:rPr>
          <w:rFonts w:eastAsia="Merriweather"/>
          <w:b w:val="false"/>
          <w:bCs w:val="false"/>
        </w:rPr>
      </w:pPr>
      <w:r>
        <w:rPr>
          <w:rFonts w:eastAsia="Merriweather"/>
          <w:b w:val="false"/>
          <w:bCs w:val="false"/>
        </w:rPr>
      </w:r>
    </w:p>
    <w:p>
      <w:pPr>
        <w:pStyle w:val="Normal"/>
        <w:widowControl w:val="false"/>
        <w:spacing w:lineRule="auto" w:line="360"/>
        <w:ind w:hanging="2" w:left="0"/>
        <w:jc w:val="both"/>
        <w:rPr>
          <w:sz w:val="22"/>
          <w:szCs w:val="22"/>
          <w:u w:val="none"/>
        </w:rPr>
      </w:pPr>
      <w:r>
        <w:rPr>
          <w:rFonts w:eastAsia="Merriweather"/>
          <w:b/>
          <w:bCs/>
          <w:sz w:val="22"/>
          <w:szCs w:val="22"/>
          <w:u w:val="none"/>
        </w:rPr>
        <w:t>18. METODOLOGIA PARA AQUISIÇÃO</w:t>
      </w:r>
      <w:r>
        <w:rPr>
          <w:rFonts w:eastAsia="Merriweather"/>
          <w:b w:val="false"/>
          <w:bCs w:val="false"/>
          <w:sz w:val="22"/>
          <w:szCs w:val="22"/>
          <w:u w:val="none"/>
        </w:rPr>
        <w:t>:</w:t>
      </w:r>
    </w:p>
    <w:p>
      <w:pPr>
        <w:pStyle w:val="Normal"/>
        <w:widowControl w:val="false"/>
        <w:spacing w:lineRule="auto" w:line="360"/>
        <w:ind w:hanging="2" w:left="0"/>
        <w:jc w:val="both"/>
        <w:rPr>
          <w:sz w:val="22"/>
          <w:szCs w:val="22"/>
          <w:u w:val="none"/>
        </w:rPr>
      </w:pPr>
      <w:r>
        <w:rPr>
          <w:rFonts w:eastAsia="Merriweather"/>
          <w:b w:val="false"/>
          <w:bCs w:val="false"/>
          <w:sz w:val="22"/>
          <w:szCs w:val="22"/>
          <w:u w:val="none"/>
        </w:rPr>
        <w:t xml:space="preserve">A aquisição do objeto do convênio se dará mediante processo licitatório em consonância com o parágrafo 2º, art. 17 da Lei n° 14.133, de 1° de abril de 2021 e legislação complementar, mediante a realização de procedimento, na modalidade PREGÃO, sob a forma ELETRÔNICA, com adoção do critério de julgamento pelo </w:t>
      </w:r>
      <w:r>
        <w:rPr>
          <w:rFonts w:eastAsia="Merriweather"/>
          <w:b w:val="false"/>
          <w:bCs w:val="false"/>
          <w:color w:themeColor="text1" w:val="000000"/>
          <w:sz w:val="22"/>
          <w:szCs w:val="22"/>
          <w:u w:val="none"/>
        </w:rPr>
        <w:t>MENOR PREÇO.</w:t>
      </w:r>
      <w:permStart w:id="153971532" w:edGrp="everyone"/>
      <w:r>
        <w:rPr>
          <w:rFonts w:eastAsia="Merriweather"/>
          <w:b w:val="false"/>
          <w:bCs w:val="false"/>
          <w:sz w:val="22"/>
          <w:szCs w:val="22"/>
          <w:u w:val="none"/>
        </w:rPr>
        <w:t xml:space="preserve"> </w:t>
      </w:r>
      <w:permEnd w:id="153971532"/>
    </w:p>
    <w:p>
      <w:pPr>
        <w:pStyle w:val="Normal"/>
        <w:spacing w:lineRule="auto" w:line="360"/>
        <w:ind w:hanging="2" w:left="0"/>
        <w:jc w:val="both"/>
        <w:rPr>
          <w:sz w:val="22"/>
          <w:szCs w:val="22"/>
        </w:rPr>
      </w:pPr>
      <w:r>
        <w:rPr>
          <w:rFonts w:eastAsia="Merriweather"/>
          <w:sz w:val="22"/>
          <w:szCs w:val="22"/>
        </w:rPr>
        <w:t>A natureza do objeto dadas suas características, enquadra-se em bens comuns nos termos da Lei nº 14.133/2021, cujos padrões de desempenho e qualidade podem ser objetivamente definidos pelo edital, por meio de especificações usuais de mercado.</w:t>
      </w:r>
    </w:p>
    <w:p>
      <w:pPr>
        <w:pStyle w:val="Normal"/>
        <w:spacing w:lineRule="auto" w:line="360"/>
        <w:ind w:hanging="2" w:left="0"/>
        <w:jc w:val="both"/>
        <w:rPr>
          <w:sz w:val="22"/>
          <w:szCs w:val="22"/>
        </w:rPr>
      </w:pPr>
      <w:r>
        <w:rPr>
          <w:rFonts w:eastAsia="Merriweather"/>
          <w:sz w:val="22"/>
          <w:szCs w:val="22"/>
        </w:rPr>
        <w:t>A contratação para a execução dos serviços deverá obedecer, no que couber:</w:t>
      </w:r>
    </w:p>
    <w:p>
      <w:pPr>
        <w:pStyle w:val="Normal"/>
        <w:spacing w:lineRule="auto" w:line="360"/>
        <w:ind w:firstLine="720" w:left="0"/>
        <w:jc w:val="both"/>
        <w:rPr>
          <w:sz w:val="22"/>
          <w:szCs w:val="22"/>
        </w:rPr>
      </w:pPr>
      <w:r>
        <w:rPr>
          <w:rFonts w:eastAsia="Merriweather"/>
          <w:sz w:val="22"/>
          <w:szCs w:val="22"/>
        </w:rPr>
        <w:t>Lei 14.133/21, de 01 de abril de 2021 e suas alterações.</w:t>
      </w:r>
    </w:p>
    <w:p>
      <w:pPr>
        <w:pStyle w:val="Normal"/>
        <w:spacing w:lineRule="auto" w:line="360"/>
        <w:ind w:firstLine="720" w:left="0"/>
        <w:jc w:val="both"/>
        <w:rPr>
          <w:sz w:val="22"/>
          <w:szCs w:val="22"/>
        </w:rPr>
      </w:pPr>
      <w:r>
        <w:rPr>
          <w:rFonts w:eastAsia="Merriweather"/>
          <w:sz w:val="22"/>
          <w:szCs w:val="22"/>
        </w:rPr>
        <w:t>Decreto Municipal nº 3.537/2023.</w:t>
      </w:r>
    </w:p>
    <w:p>
      <w:pPr>
        <w:pStyle w:val="Normal"/>
        <w:spacing w:lineRule="auto" w:line="360"/>
        <w:ind w:firstLine="720" w:left="0"/>
        <w:jc w:val="both"/>
        <w:rPr>
          <w:sz w:val="22"/>
          <w:szCs w:val="22"/>
        </w:rPr>
      </w:pPr>
      <w:r>
        <w:rPr>
          <w:rFonts w:eastAsia="Merriweather"/>
          <w:sz w:val="22"/>
          <w:szCs w:val="22"/>
        </w:rPr>
        <w:t>Lei nº 8.078, de 1990 - Código de Defesa do Consumidor.</w:t>
      </w:r>
    </w:p>
    <w:p>
      <w:pPr>
        <w:pStyle w:val="Normal"/>
        <w:spacing w:lineRule="auto" w:line="360"/>
        <w:ind w:firstLine="720" w:left="0"/>
        <w:jc w:val="both"/>
        <w:rPr>
          <w:sz w:val="22"/>
          <w:szCs w:val="22"/>
        </w:rPr>
      </w:pPr>
      <w:r>
        <w:rPr>
          <w:rFonts w:eastAsia="Merriweather"/>
          <w:sz w:val="22"/>
          <w:szCs w:val="22"/>
        </w:rPr>
        <w:t>Lei Complementar nº 123/2006, com alterações da Lei Complementar nº 147/2014.</w:t>
      </w:r>
    </w:p>
    <w:p>
      <w:pPr>
        <w:pStyle w:val="Normal"/>
        <w:spacing w:lineRule="auto" w:line="360"/>
        <w:ind w:firstLine="720" w:left="0"/>
        <w:jc w:val="both"/>
        <w:rPr>
          <w:sz w:val="22"/>
          <w:szCs w:val="22"/>
        </w:rPr>
      </w:pPr>
      <w:r>
        <w:rPr>
          <w:sz w:val="22"/>
          <w:szCs w:val="22"/>
        </w:rPr>
      </w:r>
    </w:p>
    <w:p>
      <w:pPr>
        <w:pStyle w:val="Normal"/>
        <w:spacing w:lineRule="auto" w:line="360"/>
        <w:ind w:firstLine="720" w:left="0"/>
        <w:jc w:val="both"/>
        <w:rPr>
          <w:sz w:val="22"/>
          <w:szCs w:val="22"/>
        </w:rPr>
      </w:pPr>
      <w:r>
        <w:rPr>
          <w:rFonts w:eastAsia="Merriweather"/>
          <w:sz w:val="22"/>
          <w:szCs w:val="22"/>
        </w:rPr>
        <w:t>Bandeirantes, 05 DE MARÇO DE 2025.</w:t>
      </w:r>
    </w:p>
    <w:p>
      <w:pPr>
        <w:pStyle w:val="Normal"/>
        <w:spacing w:lineRule="auto" w:line="360"/>
        <w:ind w:firstLine="720" w:left="0"/>
        <w:jc w:val="both"/>
        <w:rPr>
          <w:sz w:val="22"/>
          <w:szCs w:val="22"/>
        </w:rPr>
      </w:pPr>
      <w:r>
        <w:rPr>
          <w:sz w:val="22"/>
          <w:szCs w:val="22"/>
        </w:rPr>
      </w:r>
    </w:p>
    <w:p>
      <w:pPr>
        <w:pStyle w:val="Normal"/>
        <w:spacing w:lineRule="auto" w:line="360"/>
        <w:ind w:firstLine="720" w:left="0"/>
        <w:jc w:val="both"/>
        <w:rPr>
          <w:sz w:val="22"/>
          <w:szCs w:val="22"/>
        </w:rPr>
      </w:pPr>
      <w:r>
        <w:rPr>
          <w:sz w:val="22"/>
          <w:szCs w:val="22"/>
        </w:rPr>
      </w:r>
    </w:p>
    <w:p>
      <w:pPr>
        <w:pStyle w:val="Normal"/>
        <w:spacing w:lineRule="auto" w:line="360"/>
        <w:ind w:firstLine="720" w:left="0"/>
        <w:jc w:val="both"/>
        <w:rPr>
          <w:sz w:val="22"/>
          <w:szCs w:val="22"/>
        </w:rPr>
      </w:pPr>
      <w:r>
        <w:rPr>
          <w:sz w:val="22"/>
          <w:szCs w:val="22"/>
        </w:rPr>
      </w:r>
    </w:p>
    <w:p>
      <w:pPr>
        <w:pStyle w:val="Normal"/>
        <w:spacing w:lineRule="auto" w:line="360"/>
        <w:ind w:firstLine="720" w:left="0"/>
        <w:jc w:val="center"/>
        <w:rPr>
          <w:sz w:val="22"/>
          <w:szCs w:val="22"/>
        </w:rPr>
      </w:pPr>
      <w:r>
        <w:rPr>
          <w:rFonts w:eastAsia="Merriweather"/>
          <w:sz w:val="22"/>
          <w:szCs w:val="22"/>
        </w:rPr>
        <w:t>JAELSON RAMALHO MATTA</w:t>
      </w:r>
    </w:p>
    <w:p>
      <w:pPr>
        <w:pStyle w:val="Normal"/>
        <w:spacing w:lineRule="auto" w:line="360"/>
        <w:ind w:firstLine="720" w:left="0"/>
        <w:jc w:val="center"/>
        <w:rPr>
          <w:sz w:val="22"/>
          <w:szCs w:val="22"/>
        </w:rPr>
      </w:pPr>
      <w:r>
        <w:rPr>
          <w:rFonts w:eastAsia="Merriweather"/>
          <w:sz w:val="22"/>
          <w:szCs w:val="22"/>
        </w:rPr>
        <w:t xml:space="preserve">Prefeito  </w:t>
      </w:r>
    </w:p>
    <w:sectPr>
      <w:headerReference w:type="even" r:id="rId10"/>
      <w:headerReference w:type="default" r:id="rId11"/>
      <w:headerReference w:type="first" r:id="rId12"/>
      <w:footerReference w:type="even" r:id="rId13"/>
      <w:footerReference w:type="default" r:id="rId14"/>
      <w:footerReference w:type="first" r:id="rId15"/>
      <w:type w:val="nextPage"/>
      <w:pgSz w:w="11906" w:h="16838"/>
      <w:pgMar w:left="1323" w:right="942" w:gutter="0" w:header="720" w:top="2410" w:footer="720" w:bottom="993"/>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Nyala">
    <w:charset w:val="00"/>
    <w:family w:val="roman"/>
    <w:pitch w:val="variable"/>
  </w:font>
  <w:font w:name="Georgia">
    <w:charset w:val="00"/>
    <w:family w:val="roman"/>
    <w:pitch w:val="variable"/>
  </w:font>
  <w:font w:name="Calibri">
    <w:charset w:val="00"/>
    <w:family w:val="roman"/>
    <w:pitch w:val="variable"/>
  </w:font>
  <w:font w:name="Algerian">
    <w:altName w:val="comic"/>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 CNPJ 76.235.753/0001-48</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 CNPJ 76.235.753/0001-48</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ind w:hanging="2" w:left="0"/>
      <w:rPr>
        <w:color w:val="000000"/>
      </w:rPr>
    </w:pPr>
    <w:r>
      <w:rPr>
        <w:color w:val="000000"/>
      </w:rPr>
      <w:drawing>
        <wp:anchor behindDoc="1" distT="0" distB="0" distL="0" distR="0" simplePos="0" locked="0" layoutInCell="1" allowOverlap="1" relativeHeight="15">
          <wp:simplePos x="0" y="0"/>
          <wp:positionH relativeFrom="column">
            <wp:posOffset>-135255</wp:posOffset>
          </wp:positionH>
          <wp:positionV relativeFrom="paragraph">
            <wp:posOffset>635</wp:posOffset>
          </wp:positionV>
          <wp:extent cx="908050" cy="1057275"/>
          <wp:effectExtent l="0" t="0" r="0" b="0"/>
          <wp:wrapNone/>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tretch>
                    <a:fillRect/>
                  </a:stretch>
                </pic:blipFill>
                <pic:spPr bwMode="auto">
                  <a:xfrm>
                    <a:off x="0" y="0"/>
                    <a:ext cx="908050" cy="1057275"/>
                  </a:xfrm>
                  <a:prstGeom prst="rect">
                    <a:avLst/>
                  </a:prstGeom>
                  <a:noFill/>
                </pic:spPr>
              </pic:pic>
            </a:graphicData>
          </a:graphic>
        </wp:anchor>
      </w:drawing>
      <mc:AlternateContent>
        <mc:Choice Requires="wps">
          <w:drawing>
            <wp:anchor behindDoc="1" distT="0" distB="0" distL="0" distR="0" simplePos="0" locked="0" layoutInCell="1" allowOverlap="1" relativeHeight="42" wp14:anchorId="6E15AB54">
              <wp:simplePos x="0" y="0"/>
              <wp:positionH relativeFrom="column">
                <wp:posOffset>1031875</wp:posOffset>
              </wp:positionH>
              <wp:positionV relativeFrom="paragraph">
                <wp:posOffset>-161925</wp:posOffset>
              </wp:positionV>
              <wp:extent cx="5528945" cy="1086485"/>
              <wp:effectExtent l="0" t="0" r="0" b="0"/>
              <wp:wrapNone/>
              <wp:docPr id="3" name="Retângulo 5"/>
              <a:graphic xmlns:a="http://schemas.openxmlformats.org/drawingml/2006/main">
                <a:graphicData uri="http://schemas.microsoft.com/office/word/2010/wordprocessingShape">
                  <wps:wsp>
                    <wps:cNvSpPr/>
                    <wps:spPr>
                      <a:xfrm>
                        <a:off x="0" y="0"/>
                        <a:ext cx="5528880" cy="1086480"/>
                      </a:xfrm>
                      <a:prstGeom prst="rect">
                        <a:avLst/>
                      </a:prstGeom>
                      <a:noFill/>
                      <a:ln w="0">
                        <a:noFill/>
                      </a:ln>
                    </wps:spPr>
                    <wps:style>
                      <a:lnRef idx="0"/>
                      <a:fillRef idx="0"/>
                      <a:effectRef idx="0"/>
                      <a:fontRef idx="minor"/>
                    </wps:style>
                    <wps:txbx>
                      <w:txbxContent>
                        <w:p>
                          <w:pPr>
                            <w:pStyle w:val="Contedodoquadro"/>
                            <w:spacing w:lineRule="auto" w:line="240" w:before="360" w:after="0"/>
                            <w:ind w:hanging="4" w:left="2"/>
                            <w:jc w:val="both"/>
                            <w:rPr>
                              <w:sz w:val="36"/>
                              <w:szCs w:val="36"/>
                            </w:rPr>
                          </w:pPr>
                          <w:r>
                            <w:rPr>
                              <w:rFonts w:eastAsia="Algerian" w:cs="Algerian" w:ascii="Algerian" w:hAnsi="Algerian"/>
                              <w:i/>
                              <w:color w:val="000000"/>
                              <w:sz w:val="36"/>
                              <w:szCs w:val="36"/>
                            </w:rPr>
                            <w:t>PREFEITURA MUNICIPAL DE BANDEIRANTES</w:t>
                          </w:r>
                        </w:p>
                        <w:p>
                          <w:pPr>
                            <w:pStyle w:val="Contedodoquadro"/>
                            <w:spacing w:lineRule="auto" w:line="240" w:before="120" w:after="0"/>
                            <w:ind w:hanging="3" w:left="1"/>
                            <w:jc w:val="center"/>
                            <w:rPr/>
                          </w:pPr>
                          <w:r>
                            <w:rPr>
                              <w:rFonts w:eastAsia="Algerian" w:cs="Algerian" w:ascii="Algerian" w:hAnsi="Algerian"/>
                              <w:i/>
                              <w:color w:val="000000"/>
                              <w:sz w:val="32"/>
                            </w:rPr>
                            <w:t>ESTADO DO PARANÁ</w:t>
                          </w:r>
                        </w:p>
                        <w:p>
                          <w:pPr>
                            <w:pStyle w:val="Contedodoquadro"/>
                            <w:spacing w:lineRule="auto" w:line="240"/>
                            <w:ind w:hanging="2" w:left="0"/>
                            <w:rPr>
                              <w:color w:val="000000"/>
                            </w:rPr>
                          </w:pPr>
                          <w:r>
                            <w:rPr>
                              <w:color w:val="000000"/>
                            </w:rPr>
                          </w:r>
                        </w:p>
                      </w:txbxContent>
                    </wps:txbx>
                    <wps:bodyPr anchor="t">
                      <a:noAutofit/>
                    </wps:bodyPr>
                  </wps:wsp>
                </a:graphicData>
              </a:graphic>
            </wp:anchor>
          </w:drawing>
        </mc:Choice>
        <mc:Fallback>
          <w:pict>
            <v:rect id="shape_0" ID="Retângulo 5" path="m0,0l-2147483645,0l-2147483645,-2147483646l0,-2147483646xe" stroked="f" o:allowincell="f" style="position:absolute;margin-left:81.25pt;margin-top:-12.75pt;width:435.3pt;height:85.5pt;mso-wrap-style:square;v-text-anchor:top" wp14:anchorId="6E15AB54">
              <v:fill o:detectmouseclick="t" on="false"/>
              <v:stroke color="#3465a4" joinstyle="round" endcap="flat"/>
              <v:textbox>
                <w:txbxContent>
                  <w:p>
                    <w:pPr>
                      <w:pStyle w:val="Contedodoquadro"/>
                      <w:spacing w:lineRule="auto" w:line="240" w:before="360" w:after="0"/>
                      <w:ind w:hanging="4" w:left="2"/>
                      <w:jc w:val="both"/>
                      <w:rPr>
                        <w:sz w:val="36"/>
                        <w:szCs w:val="36"/>
                      </w:rPr>
                    </w:pPr>
                    <w:r>
                      <w:rPr>
                        <w:rFonts w:eastAsia="Algerian" w:cs="Algerian" w:ascii="Algerian" w:hAnsi="Algerian"/>
                        <w:i/>
                        <w:color w:val="000000"/>
                        <w:sz w:val="36"/>
                        <w:szCs w:val="36"/>
                      </w:rPr>
                      <w:t>PREFEITURA MUNICIPAL DE BANDEIRANTES</w:t>
                    </w:r>
                  </w:p>
                  <w:p>
                    <w:pPr>
                      <w:pStyle w:val="Contedodoquadro"/>
                      <w:spacing w:lineRule="auto" w:line="240" w:before="120" w:after="0"/>
                      <w:ind w:hanging="3" w:left="1"/>
                      <w:jc w:val="center"/>
                      <w:rPr/>
                    </w:pPr>
                    <w:r>
                      <w:rPr>
                        <w:rFonts w:eastAsia="Algerian" w:cs="Algerian" w:ascii="Algerian" w:hAnsi="Algerian"/>
                        <w:i/>
                        <w:color w:val="000000"/>
                        <w:sz w:val="32"/>
                      </w:rPr>
                      <w:t>ESTADO DO PARANÁ</w:t>
                    </w:r>
                  </w:p>
                  <w:p>
                    <w:pPr>
                      <w:pStyle w:val="Contedodoquadro"/>
                      <w:spacing w:lineRule="auto" w:line="240"/>
                      <w:ind w:hanging="2" w:left="0"/>
                      <w:rPr>
                        <w:color w:val="000000"/>
                      </w:rPr>
                    </w:pPr>
                    <w:r>
                      <w:rPr>
                        <w:color w:val="000000"/>
                      </w:rPr>
                    </w:r>
                  </w:p>
                </w:txbxContent>
              </v:textbox>
              <w10:wrap type="none"/>
            </v:rect>
          </w:pict>
        </mc:Fallback>
      </mc:AlternateContent>
    </w:r>
  </w:p>
  <w:p>
    <w:pPr>
      <w:pStyle w:val="Normal"/>
      <w:tabs>
        <w:tab w:val="clear" w:pos="720"/>
        <w:tab w:val="center" w:pos="4252" w:leader="none"/>
        <w:tab w:val="right" w:pos="8504" w:leader="none"/>
      </w:tabs>
      <w:spacing w:lineRule="auto" w:line="240"/>
      <w:ind w:hanging="2" w:left="0"/>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ind w:hanging="2" w:left="0"/>
      <w:rPr>
        <w:color w:val="000000"/>
      </w:rPr>
    </w:pPr>
    <w:r>
      <w:rPr>
        <w:color w:val="000000"/>
      </w:rPr>
      <w:drawing>
        <wp:anchor behindDoc="1" distT="0" distB="0" distL="0" distR="0" simplePos="0" locked="0" layoutInCell="1" allowOverlap="1" relativeHeight="15">
          <wp:simplePos x="0" y="0"/>
          <wp:positionH relativeFrom="column">
            <wp:posOffset>-135255</wp:posOffset>
          </wp:positionH>
          <wp:positionV relativeFrom="paragraph">
            <wp:posOffset>635</wp:posOffset>
          </wp:positionV>
          <wp:extent cx="908050" cy="1057275"/>
          <wp:effectExtent l="0" t="0" r="0" b="0"/>
          <wp:wrapNone/>
          <wp:docPr id="4"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descr=""/>
                  <pic:cNvPicPr>
                    <a:picLocks noChangeAspect="1" noChangeArrowheads="1"/>
                  </pic:cNvPicPr>
                </pic:nvPicPr>
                <pic:blipFill>
                  <a:blip r:embed="rId1"/>
                  <a:stretch>
                    <a:fillRect/>
                  </a:stretch>
                </pic:blipFill>
                <pic:spPr bwMode="auto">
                  <a:xfrm>
                    <a:off x="0" y="0"/>
                    <a:ext cx="908050" cy="1057275"/>
                  </a:xfrm>
                  <a:prstGeom prst="rect">
                    <a:avLst/>
                  </a:prstGeom>
                  <a:noFill/>
                </pic:spPr>
              </pic:pic>
            </a:graphicData>
          </a:graphic>
        </wp:anchor>
      </w:drawing>
      <mc:AlternateContent>
        <mc:Choice Requires="wps">
          <w:drawing>
            <wp:anchor behindDoc="1" distT="0" distB="0" distL="0" distR="0" simplePos="0" locked="0" layoutInCell="1" allowOverlap="1" relativeHeight="42" wp14:anchorId="6E15AB54">
              <wp:simplePos x="0" y="0"/>
              <wp:positionH relativeFrom="column">
                <wp:posOffset>1031875</wp:posOffset>
              </wp:positionH>
              <wp:positionV relativeFrom="paragraph">
                <wp:posOffset>-161925</wp:posOffset>
              </wp:positionV>
              <wp:extent cx="5528945" cy="1086485"/>
              <wp:effectExtent l="0" t="0" r="0" b="0"/>
              <wp:wrapNone/>
              <wp:docPr id="5" name="Retângulo 5"/>
              <a:graphic xmlns:a="http://schemas.openxmlformats.org/drawingml/2006/main">
                <a:graphicData uri="http://schemas.microsoft.com/office/word/2010/wordprocessingShape">
                  <wps:wsp>
                    <wps:cNvSpPr/>
                    <wps:spPr>
                      <a:xfrm>
                        <a:off x="0" y="0"/>
                        <a:ext cx="5528880" cy="1086480"/>
                      </a:xfrm>
                      <a:prstGeom prst="rect">
                        <a:avLst/>
                      </a:prstGeom>
                      <a:noFill/>
                      <a:ln w="0">
                        <a:noFill/>
                      </a:ln>
                    </wps:spPr>
                    <wps:style>
                      <a:lnRef idx="0"/>
                      <a:fillRef idx="0"/>
                      <a:effectRef idx="0"/>
                      <a:fontRef idx="minor"/>
                    </wps:style>
                    <wps:txbx>
                      <w:txbxContent>
                        <w:p>
                          <w:pPr>
                            <w:pStyle w:val="Contedodoquadro"/>
                            <w:spacing w:lineRule="auto" w:line="240" w:before="360" w:after="0"/>
                            <w:ind w:hanging="4" w:left="2"/>
                            <w:jc w:val="both"/>
                            <w:rPr>
                              <w:sz w:val="36"/>
                              <w:szCs w:val="36"/>
                            </w:rPr>
                          </w:pPr>
                          <w:r>
                            <w:rPr>
                              <w:rFonts w:eastAsia="Algerian" w:cs="Algerian" w:ascii="Algerian" w:hAnsi="Algerian"/>
                              <w:i/>
                              <w:color w:val="000000"/>
                              <w:sz w:val="36"/>
                              <w:szCs w:val="36"/>
                            </w:rPr>
                            <w:t>PREFEITURA MUNICIPAL DE BANDEIRANTES</w:t>
                          </w:r>
                        </w:p>
                        <w:p>
                          <w:pPr>
                            <w:pStyle w:val="Contedodoquadro"/>
                            <w:spacing w:lineRule="auto" w:line="240" w:before="120" w:after="0"/>
                            <w:ind w:hanging="3" w:left="1"/>
                            <w:jc w:val="center"/>
                            <w:rPr/>
                          </w:pPr>
                          <w:r>
                            <w:rPr>
                              <w:rFonts w:eastAsia="Algerian" w:cs="Algerian" w:ascii="Algerian" w:hAnsi="Algerian"/>
                              <w:i/>
                              <w:color w:val="000000"/>
                              <w:sz w:val="32"/>
                            </w:rPr>
                            <w:t>ESTADO DO PARANÁ</w:t>
                          </w:r>
                        </w:p>
                        <w:p>
                          <w:pPr>
                            <w:pStyle w:val="Contedodoquadro"/>
                            <w:spacing w:lineRule="auto" w:line="240"/>
                            <w:ind w:hanging="2" w:left="0"/>
                            <w:rPr>
                              <w:color w:val="000000"/>
                            </w:rPr>
                          </w:pPr>
                          <w:r>
                            <w:rPr>
                              <w:color w:val="000000"/>
                            </w:rPr>
                          </w:r>
                        </w:p>
                      </w:txbxContent>
                    </wps:txbx>
                    <wps:bodyPr anchor="t">
                      <a:noAutofit/>
                    </wps:bodyPr>
                  </wps:wsp>
                </a:graphicData>
              </a:graphic>
            </wp:anchor>
          </w:drawing>
        </mc:Choice>
        <mc:Fallback>
          <w:pict>
            <v:rect id="shape_0" ID="Retângulo 5" path="m0,0l-2147483645,0l-2147483645,-2147483646l0,-2147483646xe" stroked="f" o:allowincell="f" style="position:absolute;margin-left:81.25pt;margin-top:-12.75pt;width:435.3pt;height:85.5pt;mso-wrap-style:square;v-text-anchor:top" wp14:anchorId="6E15AB54">
              <v:fill o:detectmouseclick="t" on="false"/>
              <v:stroke color="#3465a4" joinstyle="round" endcap="flat"/>
              <v:textbox>
                <w:txbxContent>
                  <w:p>
                    <w:pPr>
                      <w:pStyle w:val="Contedodoquadro"/>
                      <w:spacing w:lineRule="auto" w:line="240" w:before="360" w:after="0"/>
                      <w:ind w:hanging="4" w:left="2"/>
                      <w:jc w:val="both"/>
                      <w:rPr>
                        <w:sz w:val="36"/>
                        <w:szCs w:val="36"/>
                      </w:rPr>
                    </w:pPr>
                    <w:r>
                      <w:rPr>
                        <w:rFonts w:eastAsia="Algerian" w:cs="Algerian" w:ascii="Algerian" w:hAnsi="Algerian"/>
                        <w:i/>
                        <w:color w:val="000000"/>
                        <w:sz w:val="36"/>
                        <w:szCs w:val="36"/>
                      </w:rPr>
                      <w:t>PREFEITURA MUNICIPAL DE BANDEIRANTES</w:t>
                    </w:r>
                  </w:p>
                  <w:p>
                    <w:pPr>
                      <w:pStyle w:val="Contedodoquadro"/>
                      <w:spacing w:lineRule="auto" w:line="240" w:before="120" w:after="0"/>
                      <w:ind w:hanging="3" w:left="1"/>
                      <w:jc w:val="center"/>
                      <w:rPr/>
                    </w:pPr>
                    <w:r>
                      <w:rPr>
                        <w:rFonts w:eastAsia="Algerian" w:cs="Algerian" w:ascii="Algerian" w:hAnsi="Algerian"/>
                        <w:i/>
                        <w:color w:val="000000"/>
                        <w:sz w:val="32"/>
                      </w:rPr>
                      <w:t>ESTADO DO PARANÁ</w:t>
                    </w:r>
                  </w:p>
                  <w:p>
                    <w:pPr>
                      <w:pStyle w:val="Contedodoquadro"/>
                      <w:spacing w:lineRule="auto" w:line="240"/>
                      <w:ind w:hanging="2" w:left="0"/>
                      <w:rPr>
                        <w:color w:val="000000"/>
                      </w:rPr>
                    </w:pPr>
                    <w:r>
                      <w:rPr>
                        <w:color w:val="000000"/>
                      </w:rPr>
                    </w:r>
                  </w:p>
                </w:txbxContent>
              </v:textbox>
              <w10:wrap type="none"/>
            </v:rect>
          </w:pict>
        </mc:Fallback>
      </mc:AlternateContent>
    </w:r>
  </w:p>
  <w:p>
    <w:pPr>
      <w:pStyle w:val="Normal"/>
      <w:tabs>
        <w:tab w:val="clear" w:pos="720"/>
        <w:tab w:val="center" w:pos="4252" w:leader="none"/>
        <w:tab w:val="right" w:pos="8504" w:leader="none"/>
      </w:tabs>
      <w:spacing w:lineRule="auto" w:line="240"/>
      <w:ind w:hanging="2" w:left="0"/>
      <w:rPr>
        <w:color w:val="000000"/>
      </w:rPr>
    </w:pPr>
    <w:r>
      <w:rPr>
        <w:color w:val="000000"/>
      </w:rPr>
    </w:r>
  </w:p>
</w:hdr>
</file>

<file path=word/settings.xml><?xml version="1.0" encoding="utf-8"?>
<w:settings xmlns:w="http://schemas.openxmlformats.org/wordprocessingml/2006/main">
  <w:zoom w:percent="110"/>
  <w:defaultTabStop w:val="720"/>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tLeast" w:line="1" w:before="0" w:after="0"/>
      <w:ind w:hanging="1" w:left="-1"/>
      <w:jc w:val="left"/>
      <w:textAlignment w:val="top"/>
      <w:outlineLvl w:val="0"/>
    </w:pPr>
    <w:rPr>
      <w:rFonts w:ascii="Times New Roman" w:hAnsi="Times New Roman" w:eastAsia="Times New Roman" w:cs="Times New Roman"/>
      <w:color w:val="auto"/>
      <w:kern w:val="0"/>
      <w:position w:val="-1"/>
      <w:sz w:val="24"/>
      <w:szCs w:val="24"/>
      <w:lang w:val="pt-BR" w:eastAsia="pt-BR" w:bidi="ar-SA"/>
    </w:rPr>
  </w:style>
  <w:style w:type="paragraph" w:styleId="Heading1">
    <w:name w:val="heading 1"/>
    <w:basedOn w:val="Normal"/>
    <w:next w:val="Normal"/>
    <w:qFormat/>
    <w:pPr>
      <w:keepNext w:val="true"/>
      <w:ind w:left="3969"/>
      <w:jc w:val="both"/>
    </w:pPr>
    <w:rPr>
      <w:b/>
      <w:szCs w:val="20"/>
      <w:u w:val="single"/>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spacing w:before="240" w:after="60"/>
      <w:outlineLvl w:val="2"/>
    </w:pPr>
    <w:rPr>
      <w:rFonts w:ascii="Calibri Light" w:hAnsi="Calibri Light"/>
      <w:b/>
      <w:bCs/>
      <w:sz w:val="26"/>
      <w:szCs w:val="26"/>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qFormat/>
    <w:rPr>
      <w:w w:val="100"/>
      <w:position w:val="0"/>
      <w:sz w:val="24"/>
      <w:sz w:val="24"/>
      <w:szCs w:val="24"/>
      <w:effect w:val="none"/>
      <w:vertAlign w:val="baseline"/>
      <w:em w:val="none"/>
    </w:rPr>
  </w:style>
  <w:style w:type="character" w:styleId="RodapChar" w:customStyle="1">
    <w:name w:val="Rodapé Char"/>
    <w:qFormat/>
    <w:rPr>
      <w:w w:val="100"/>
      <w:position w:val="0"/>
      <w:sz w:val="24"/>
      <w:sz w:val="24"/>
      <w:szCs w:val="24"/>
      <w:effect w:val="none"/>
      <w:vertAlign w:val="baseline"/>
      <w:em w:val="none"/>
    </w:rPr>
  </w:style>
  <w:style w:type="character" w:styleId="TextodebaloChar" w:customStyle="1">
    <w:name w:val="Texto de balão Char"/>
    <w:qFormat/>
    <w:rPr>
      <w:rFonts w:ascii="Segoe UI" w:hAnsi="Segoe UI" w:cs="Segoe UI"/>
      <w:w w:val="100"/>
      <w:position w:val="0"/>
      <w:sz w:val="18"/>
      <w:sz w:val="18"/>
      <w:szCs w:val="18"/>
      <w:effect w:val="none"/>
      <w:vertAlign w:val="baseline"/>
      <w:em w:val="none"/>
    </w:rPr>
  </w:style>
  <w:style w:type="character" w:styleId="Ttulo3Char" w:customStyle="1">
    <w:name w:val="Título 3 Char"/>
    <w:qFormat/>
    <w:rPr>
      <w:rFonts w:ascii="Calibri Light" w:hAnsi="Calibri Light" w:eastAsia="Times New Roman" w:cs="Times New Roman"/>
      <w:b/>
      <w:bCs/>
      <w:w w:val="100"/>
      <w:position w:val="0"/>
      <w:sz w:val="26"/>
      <w:sz w:val="26"/>
      <w:szCs w:val="26"/>
      <w:effect w:val="none"/>
      <w:vertAlign w:val="baseline"/>
      <w:em w:val="none"/>
    </w:rPr>
  </w:style>
  <w:style w:type="character" w:styleId="Recuodecorpodetexto3Char" w:customStyle="1">
    <w:name w:val="Recuo de corpo de texto 3 Char"/>
    <w:qFormat/>
    <w:rPr>
      <w:w w:val="100"/>
      <w:position w:val="0"/>
      <w:sz w:val="16"/>
      <w:sz w:val="16"/>
      <w:szCs w:val="16"/>
      <w:effect w:val="none"/>
      <w:vertAlign w:val="baseline"/>
      <w:em w:val="none"/>
    </w:rPr>
  </w:style>
  <w:style w:type="character" w:styleId="Hyperlink">
    <w:name w:val="Hyperlink"/>
    <w:basedOn w:val="DefaultParagraphFont"/>
    <w:uiPriority w:val="99"/>
    <w:unhideWhenUsed/>
    <w:rsid w:val="00207734"/>
    <w:rPr>
      <w:color w:themeColor="hyperlink" w:val="0000FF"/>
      <w:u w:val="single"/>
    </w:rPr>
  </w:style>
  <w:style w:type="character" w:styleId="CorpodetextoChar" w:customStyle="1">
    <w:name w:val="Corpo de texto Char"/>
    <w:basedOn w:val="DefaultParagraphFont"/>
    <w:uiPriority w:val="99"/>
    <w:semiHidden/>
    <w:qFormat/>
    <w:rsid w:val="005a6613"/>
    <w:rPr>
      <w:vertAlign w:val="subscript"/>
    </w:rPr>
  </w:style>
  <w:style w:type="character" w:styleId="Citao">
    <w:name w:val="Citação"/>
    <w:qFormat/>
    <w:rPr>
      <w:i/>
      <w:i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semiHidden/>
    <w:unhideWhenUsed/>
    <w:rsid w:val="005a6613"/>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Title">
    <w:name w:val="Title"/>
    <w:basedOn w:val="Normal"/>
    <w:next w:val="Normal"/>
    <w:qFormat/>
    <w:pPr>
      <w:keepNext w:val="true"/>
      <w:keepLines/>
      <w:spacing w:before="480" w:after="120"/>
    </w:pPr>
    <w:rPr>
      <w:b/>
      <w:sz w:val="72"/>
      <w:szCs w:val="72"/>
    </w:rPr>
  </w:style>
  <w:style w:type="paragraph" w:styleId="BodyTextIndent">
    <w:name w:val="Body Text Indent"/>
    <w:basedOn w:val="Normal"/>
    <w:pPr>
      <w:ind w:firstLine="3118" w:left="851"/>
      <w:jc w:val="both"/>
    </w:pPr>
    <w:rPr>
      <w:sz w:val="28"/>
      <w:szCs w:val="20"/>
    </w:rPr>
  </w:style>
  <w:style w:type="paragraph" w:styleId="BodyTextIndent2">
    <w:name w:val="Body Text Indent 2"/>
    <w:basedOn w:val="Normal"/>
    <w:qFormat/>
    <w:pPr>
      <w:ind w:firstLine="2889" w:left="1080"/>
      <w:jc w:val="both"/>
    </w:pPr>
    <w:rPr>
      <w:bCs/>
      <w:sz w:val="25"/>
      <w:szCs w:val="28"/>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qFormat/>
    <w:pPr>
      <w:tabs>
        <w:tab w:val="clear" w:pos="720"/>
        <w:tab w:val="center" w:pos="4252" w:leader="none"/>
        <w:tab w:val="right" w:pos="8504" w:leader="none"/>
      </w:tabs>
    </w:pPr>
    <w:rPr/>
  </w:style>
  <w:style w:type="paragraph" w:styleId="Footer">
    <w:name w:val="footer"/>
    <w:basedOn w:val="Normal"/>
    <w:qFormat/>
    <w:pPr>
      <w:tabs>
        <w:tab w:val="clear" w:pos="720"/>
        <w:tab w:val="center" w:pos="4252" w:leader="none"/>
        <w:tab w:val="right" w:pos="8504" w:leader="none"/>
      </w:tabs>
    </w:pPr>
    <w:rPr/>
  </w:style>
  <w:style w:type="paragraph" w:styleId="BalloonText">
    <w:name w:val="Balloon Text"/>
    <w:basedOn w:val="Normal"/>
    <w:qFormat/>
    <w:pPr/>
    <w:rPr>
      <w:rFonts w:ascii="Segoe UI" w:hAnsi="Segoe UI"/>
      <w:sz w:val="18"/>
      <w:szCs w:val="18"/>
    </w:rPr>
  </w:style>
  <w:style w:type="paragraph" w:styleId="BodyTextIndent3">
    <w:name w:val="Body Text Indent 3"/>
    <w:basedOn w:val="Normal"/>
    <w:qFormat/>
    <w:pPr>
      <w:spacing w:before="0" w:after="120"/>
      <w:ind w:left="283"/>
    </w:pPr>
    <w:rPr>
      <w:sz w:val="16"/>
      <w:szCs w:val="16"/>
    </w:rPr>
  </w:style>
  <w:style w:type="paragraph" w:styleId="Default" w:customStyle="1">
    <w:name w:val="Default"/>
    <w:qFormat/>
    <w:pPr>
      <w:widowControl/>
      <w:suppressAutoHyphens w:val="true"/>
      <w:bidi w:val="0"/>
      <w:spacing w:lineRule="atLeast" w:line="1" w:before="0" w:after="0"/>
      <w:ind w:hanging="1" w:left="-1"/>
      <w:jc w:val="left"/>
      <w:textAlignment w:val="top"/>
      <w:outlineLvl w:val="0"/>
    </w:pPr>
    <w:rPr>
      <w:rFonts w:ascii="Nyala" w:hAnsi="Nyala" w:eastAsia="Calibri" w:cs="Nyala"/>
      <w:color w:val="000000"/>
      <w:kern w:val="0"/>
      <w:position w:val="-1"/>
      <w:sz w:val="24"/>
      <w:szCs w:val="24"/>
      <w:lang w:val="pt-BR" w:eastAsia="en-US" w:bidi="ar-SA"/>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1"/>
    <w:qFormat/>
    <w:rsid w:val="00fd4bc0"/>
    <w:pPr>
      <w:widowControl w:val="false"/>
      <w:suppressAutoHyphens w:val="false"/>
      <w:spacing w:lineRule="auto" w:line="240" w:before="120" w:after="0"/>
      <w:ind w:hanging="0" w:left="398"/>
      <w:jc w:val="both"/>
      <w:textAlignment w:val="auto"/>
      <w:outlineLvl w:val="9"/>
    </w:pPr>
    <w:rPr>
      <w:rFonts w:ascii="Calibri" w:hAnsi="Calibri" w:eastAsia="Calibri" w:cs="Calibri"/>
      <w:sz w:val="22"/>
      <w:szCs w:val="22"/>
      <w:lang w:val="pt-PT" w:eastAsia="en-US"/>
    </w:rPr>
  </w:style>
  <w:style w:type="paragraph" w:styleId="Contedodoquadro">
    <w:name w:val="Conteúdo do quadro"/>
    <w:basedOn w:val="Normal"/>
    <w:qFormat/>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Contedodoquadrouser">
    <w:name w:val="Conteúdo do quadro (user)"/>
    <w:basedOn w:val="Normal"/>
    <w:qFormat/>
    <w:pPr/>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Tabelacomgrade">
    <w:name w:val="Table Grid"/>
    <w:basedOn w:val="Tabelanormal"/>
    <w:uiPriority w:val="39"/>
    <w:rsid w:val="00307e7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bandeirantes.pr.gov.br/diario-oficial-eletronico" TargetMode="External"/><Relationship Id="rId3" Type="http://schemas.openxmlformats.org/officeDocument/2006/relationships/hyperlink" Target="http://www.yanmaq.com.br/" TargetMode="External"/><Relationship Id="rId4" Type="http://schemas.openxmlformats.org/officeDocument/2006/relationships/hyperlink" Target="http://www.agricase.com.br/" TargetMode="External"/><Relationship Id="rId5" Type="http://schemas.openxmlformats.org/officeDocument/2006/relationships/hyperlink" Target="https://www.google.com/search?q=disma+conrelio+propropoio&amp;oq=disma+conrelio+propropoio&amp;gs_lcrp=EgZjaHJvbWUyBggAEEUYOTIJCAEQIRgKGKAB0gEKMTAwMzRqMGoxNagCCLACAQ&amp;sourceid=chrome&amp;ie=UTF-8" TargetMode="External"/><Relationship Id="rId6" Type="http://schemas.openxmlformats.org/officeDocument/2006/relationships/hyperlink" Target="http://www.dismatratores.com.br/" TargetMode="External"/><Relationship Id="rId7" Type="http://schemas.openxmlformats.org/officeDocument/2006/relationships/hyperlink" Target="mailto:cprocopio@dismatratores.com.br"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s://www.planalto.gov.br/ccivil_03/leis/lcp/lcp123.htm"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gwR77k/g+npfYuneaF/yCmO6mYow==">CgMxLjA4AHIhMWZETHJjTmtuX1JOTVg3NmZWOVQ0LUs5MGUxbU5kSGNQ</go:docsCustomData>
</go:gDocsCustomXmlDataStorage>
</file>

<file path=customXml/itemProps1.xml><?xml version="1.0" encoding="utf-8"?>
<ds:datastoreItem xmlns:ds="http://schemas.openxmlformats.org/officeDocument/2006/customXml" ds:itemID="{B653B9B8-6089-4612-B777-02DE33D5779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940</TotalTime>
  <Application>LibreOffice/24.8.5.2$Windows_X86_64 LibreOffice_project/fddf2685c70b461e7832239a0162a77216259f22</Application>
  <AppVersion>15.0000</AppVersion>
  <Pages>14</Pages>
  <Words>5462</Words>
  <Characters>31102</Characters>
  <CharactersWithSpaces>36484</CharactersWithSpaces>
  <Paragraphs>200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2024-05-14T13:51:00Z</dcterms:created>
  <dc:creator>x</dc:creator>
  <dc:description/>
  <dc:language>pt-BR</dc:language>
  <cp:lastModifiedBy/>
  <dcterms:modified xsi:type="dcterms:W3CDTF">2025-03-26T11:32:43Z</dcterms:modified>
  <cp:revision>31</cp:revision>
  <dc:subject/>
  <dc:title>Roundcube Webmail :: Re: solicitação de cotação de preços</dc:title>
</cp:coreProperties>
</file>

<file path=docProps/custom.xml><?xml version="1.0" encoding="utf-8"?>
<Properties xmlns="http://schemas.openxmlformats.org/officeDocument/2006/custom-properties" xmlns:vt="http://schemas.openxmlformats.org/officeDocument/2006/docPropsVTypes"/>
</file>